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EA09" w14:textId="77777777" w:rsidR="00A7506B" w:rsidRPr="009660DC" w:rsidRDefault="00403B63" w:rsidP="00A7506B">
      <w:pPr>
        <w:spacing w:before="240" w:after="120"/>
        <w:jc w:val="both"/>
        <w:rPr>
          <w:b/>
          <w:bCs/>
          <w:iCs/>
          <w:noProof/>
        </w:rPr>
      </w:pPr>
      <w:bookmarkStart w:id="0" w:name="_Hlk128998371"/>
      <w:r w:rsidRPr="009660DC">
        <w:rPr>
          <w:b/>
          <w:bCs/>
          <w:iCs/>
          <w:noProof/>
        </w:rPr>
        <w:t>Information</w:t>
      </w:r>
      <w:r w:rsidR="00AC3BAE" w:rsidRPr="009660DC">
        <w:rPr>
          <w:b/>
          <w:bCs/>
          <w:iCs/>
          <w:noProof/>
        </w:rPr>
        <w:t xml:space="preserve"> according to article 4 of </w:t>
      </w:r>
      <w:r w:rsidR="00A7506B" w:rsidRPr="009660DC">
        <w:rPr>
          <w:b/>
          <w:bCs/>
          <w:iCs/>
          <w:noProof/>
        </w:rPr>
        <w:t xml:space="preserve">Regulation (EU) 2019/2088 </w:t>
      </w:r>
      <w:bookmarkEnd w:id="0"/>
      <w:r w:rsidR="00A7506B" w:rsidRPr="009660DC">
        <w:rPr>
          <w:b/>
          <w:bCs/>
          <w:iCs/>
          <w:noProof/>
        </w:rPr>
        <w:t>on sustainability</w:t>
      </w:r>
      <w:r w:rsidR="00A7506B" w:rsidRPr="009660DC">
        <w:rPr>
          <w:rFonts w:ascii="Cambria Math" w:hAnsi="Cambria Math" w:cs="Cambria Math"/>
          <w:b/>
          <w:bCs/>
          <w:iCs/>
          <w:noProof/>
        </w:rPr>
        <w:t>‐</w:t>
      </w:r>
      <w:r w:rsidR="00A7506B" w:rsidRPr="009660DC">
        <w:rPr>
          <w:b/>
          <w:bCs/>
          <w:iCs/>
          <w:noProof/>
        </w:rPr>
        <w:t xml:space="preserve">related disclosures in the financial services sector </w:t>
      </w:r>
    </w:p>
    <w:p w14:paraId="72A995B1" w14:textId="44CB6B80" w:rsidR="00011C46" w:rsidRPr="009660DC" w:rsidRDefault="00011C46" w:rsidP="00A7506B">
      <w:pPr>
        <w:spacing w:before="240" w:after="120"/>
        <w:jc w:val="both"/>
        <w:rPr>
          <w:rFonts w:ascii="FS Me" w:hAnsi="FS Me" w:cstheme="majorHAnsi"/>
          <w:b/>
          <w:bCs/>
          <w:iCs/>
          <w:sz w:val="26"/>
          <w:szCs w:val="26"/>
        </w:rPr>
      </w:pPr>
      <w:r w:rsidRPr="009660DC">
        <w:rPr>
          <w:rFonts w:ascii="FS Me" w:hAnsi="FS Me" w:cstheme="majorHAnsi"/>
          <w:b/>
          <w:bCs/>
          <w:iCs/>
          <w:sz w:val="26"/>
          <w:szCs w:val="26"/>
        </w:rPr>
        <w:t xml:space="preserve">Statement on principal adverse impacts of investment decisions on sustainability factors </w:t>
      </w:r>
    </w:p>
    <w:p w14:paraId="3AA3BBC1" w14:textId="3FC87E83" w:rsidR="00011C46" w:rsidRPr="009660DC" w:rsidRDefault="00461815" w:rsidP="00461815">
      <w:pPr>
        <w:spacing w:after="120"/>
        <w:rPr>
          <w:rFonts w:cstheme="minorHAnsi"/>
          <w:iCs/>
          <w:sz w:val="20"/>
          <w:szCs w:val="20"/>
        </w:rPr>
      </w:pPr>
      <w:r w:rsidRPr="009660DC">
        <w:rPr>
          <w:rFonts w:cstheme="minorHAnsi"/>
          <w:iCs/>
          <w:sz w:val="20"/>
          <w:szCs w:val="20"/>
        </w:rPr>
        <w:t>30.06.2023</w:t>
      </w:r>
    </w:p>
    <w:p w14:paraId="0AE83EDB" w14:textId="77777777" w:rsidR="00461815" w:rsidRPr="009660DC" w:rsidRDefault="00461815" w:rsidP="00D2169B">
      <w:pPr>
        <w:spacing w:after="120"/>
        <w:jc w:val="both"/>
        <w:rPr>
          <w:rFonts w:ascii="FS Me" w:hAnsi="FS Me" w:cstheme="majorHAnsi"/>
          <w:b/>
          <w:bCs/>
          <w:iCs/>
          <w:sz w:val="28"/>
          <w:szCs w:val="28"/>
        </w:rPr>
      </w:pPr>
    </w:p>
    <w:p w14:paraId="70ACE56C" w14:textId="2B86025D" w:rsidR="0058316F" w:rsidRPr="009660DC" w:rsidRDefault="00011C46" w:rsidP="00D2169B">
      <w:pPr>
        <w:spacing w:after="120"/>
        <w:jc w:val="both"/>
        <w:rPr>
          <w:rFonts w:cstheme="minorHAnsi"/>
          <w:b/>
          <w:color w:val="FF0000"/>
          <w:sz w:val="20"/>
          <w:szCs w:val="20"/>
        </w:rPr>
      </w:pPr>
      <w:r w:rsidRPr="009660DC">
        <w:rPr>
          <w:rFonts w:cstheme="minorHAnsi"/>
          <w:b/>
          <w:bCs/>
          <w:iCs/>
          <w:noProof/>
          <w:sz w:val="20"/>
          <w:szCs w:val="20"/>
        </w:rPr>
        <w:t>Financial market participant</w:t>
      </w:r>
      <w:r w:rsidR="00C72365" w:rsidRPr="009660DC">
        <w:rPr>
          <w:rFonts w:cstheme="minorHAnsi"/>
          <w:b/>
          <w:bCs/>
          <w:iCs/>
          <w:noProof/>
          <w:sz w:val="20"/>
          <w:szCs w:val="20"/>
        </w:rPr>
        <w:t>:</w:t>
      </w:r>
      <w:r w:rsidRPr="009660DC">
        <w:rPr>
          <w:rFonts w:cstheme="minorHAnsi"/>
          <w:b/>
          <w:bCs/>
          <w:iCs/>
          <w:noProof/>
          <w:sz w:val="20"/>
          <w:szCs w:val="20"/>
        </w:rPr>
        <w:t xml:space="preserve"> </w:t>
      </w:r>
      <w:r w:rsidR="00C72365" w:rsidRPr="009660DC">
        <w:rPr>
          <w:rFonts w:cstheme="minorHAnsi"/>
          <w:sz w:val="20"/>
          <w:szCs w:val="20"/>
        </w:rPr>
        <w:t>ERGO Life Insurance SE (LEI 5493001IOWSPIYMXRA82)</w:t>
      </w:r>
    </w:p>
    <w:p w14:paraId="00BCBFC2" w14:textId="436C4BC3" w:rsidR="00293ABA" w:rsidRPr="009660DC" w:rsidRDefault="00C72365" w:rsidP="00D2169B">
      <w:pPr>
        <w:spacing w:after="120"/>
        <w:jc w:val="both"/>
        <w:rPr>
          <w:rFonts w:cstheme="minorHAnsi"/>
          <w:sz w:val="20"/>
          <w:szCs w:val="20"/>
        </w:rPr>
      </w:pPr>
      <w:r w:rsidRPr="009660DC">
        <w:rPr>
          <w:rFonts w:cstheme="minorHAnsi"/>
          <w:sz w:val="20"/>
          <w:szCs w:val="20"/>
        </w:rPr>
        <w:t>ERGO Life Insurance SE (hereinafter ERGO)</w:t>
      </w:r>
      <w:r w:rsidR="00293ABA" w:rsidRPr="009660DC">
        <w:rPr>
          <w:rFonts w:cstheme="minorHAnsi"/>
          <w:sz w:val="20"/>
          <w:szCs w:val="20"/>
        </w:rPr>
        <w:t xml:space="preserve"> is a company of ERGO Group, which belongs to the Munich Re Group. The Group is one of the leading providers of reinsurance, primary </w:t>
      </w:r>
      <w:proofErr w:type="gramStart"/>
      <w:r w:rsidR="00293ABA" w:rsidRPr="009660DC">
        <w:rPr>
          <w:rFonts w:cstheme="minorHAnsi"/>
          <w:sz w:val="20"/>
          <w:szCs w:val="20"/>
        </w:rPr>
        <w:t>insurance</w:t>
      </w:r>
      <w:proofErr w:type="gramEnd"/>
      <w:r w:rsidR="00293ABA" w:rsidRPr="009660DC">
        <w:rPr>
          <w:rFonts w:cstheme="minorHAnsi"/>
          <w:sz w:val="20"/>
          <w:szCs w:val="20"/>
        </w:rPr>
        <w:t xml:space="preserve"> and insurance-related risk solutions worldwide.</w:t>
      </w:r>
    </w:p>
    <w:p w14:paraId="1B32A5EB" w14:textId="77777777" w:rsidR="00293ABA" w:rsidRPr="009660DC" w:rsidRDefault="00293ABA" w:rsidP="00D2169B">
      <w:pPr>
        <w:spacing w:after="120"/>
        <w:jc w:val="both"/>
        <w:rPr>
          <w:rFonts w:cstheme="minorHAnsi"/>
          <w:color w:val="FF0000"/>
          <w:sz w:val="20"/>
          <w:szCs w:val="20"/>
        </w:rPr>
      </w:pPr>
    </w:p>
    <w:p w14:paraId="7872C9A7" w14:textId="64152B7F" w:rsidR="000A1E9F" w:rsidRPr="009660DC" w:rsidRDefault="00AC3BAE" w:rsidP="00D2169B">
      <w:pPr>
        <w:spacing w:after="120"/>
        <w:jc w:val="both"/>
        <w:rPr>
          <w:rFonts w:cstheme="minorHAnsi"/>
          <w:b/>
          <w:sz w:val="20"/>
          <w:szCs w:val="20"/>
        </w:rPr>
      </w:pPr>
      <w:r w:rsidRPr="009660DC">
        <w:rPr>
          <w:rFonts w:cstheme="minorHAnsi"/>
          <w:b/>
          <w:sz w:val="20"/>
          <w:szCs w:val="20"/>
        </w:rPr>
        <w:t>Summary</w:t>
      </w:r>
    </w:p>
    <w:p w14:paraId="678D6C1E" w14:textId="0E39DF3B" w:rsidR="00C0297D" w:rsidRPr="009660DC" w:rsidRDefault="00C0297D" w:rsidP="00C0297D">
      <w:pPr>
        <w:spacing w:after="120"/>
        <w:jc w:val="both"/>
        <w:rPr>
          <w:rFonts w:cstheme="minorHAnsi"/>
          <w:sz w:val="20"/>
          <w:szCs w:val="20"/>
        </w:rPr>
      </w:pPr>
      <w:r w:rsidRPr="009660DC">
        <w:rPr>
          <w:rFonts w:cstheme="minorHAnsi"/>
          <w:sz w:val="20"/>
          <w:szCs w:val="20"/>
        </w:rPr>
        <w:t>This statement of principal adverse effects covers the period from January 1 to December 31</w:t>
      </w:r>
      <w:r w:rsidR="009660DC" w:rsidRPr="009660DC">
        <w:rPr>
          <w:rFonts w:cstheme="minorHAnsi"/>
          <w:sz w:val="20"/>
          <w:szCs w:val="20"/>
        </w:rPr>
        <w:t>, 2022</w:t>
      </w:r>
      <w:r w:rsidRPr="009660DC">
        <w:rPr>
          <w:rFonts w:cstheme="minorHAnsi"/>
          <w:sz w:val="20"/>
          <w:szCs w:val="20"/>
        </w:rPr>
        <w:t>.</w:t>
      </w:r>
    </w:p>
    <w:p w14:paraId="1EBA266E" w14:textId="30F691D3" w:rsidR="00136C06" w:rsidRPr="009660DC" w:rsidRDefault="00C72365" w:rsidP="00136C06">
      <w:pPr>
        <w:spacing w:after="120"/>
        <w:jc w:val="both"/>
        <w:rPr>
          <w:rFonts w:cstheme="minorHAnsi"/>
          <w:sz w:val="20"/>
          <w:szCs w:val="20"/>
        </w:rPr>
      </w:pPr>
      <w:r w:rsidRPr="009660DC">
        <w:rPr>
          <w:rFonts w:cstheme="minorHAnsi"/>
          <w:sz w:val="20"/>
          <w:szCs w:val="20"/>
        </w:rPr>
        <w:t>ERGO</w:t>
      </w:r>
      <w:r w:rsidR="00136C06" w:rsidRPr="009660DC">
        <w:rPr>
          <w:rFonts w:cstheme="minorHAnsi"/>
          <w:sz w:val="20"/>
          <w:szCs w:val="20"/>
        </w:rPr>
        <w:t xml:space="preserve"> considers the main adverse effects on sustainability indicators in its investment decision-making processes.</w:t>
      </w:r>
    </w:p>
    <w:p w14:paraId="1BE8DF58" w14:textId="0532B730" w:rsidR="00136C06" w:rsidRPr="009660DC" w:rsidRDefault="00136C06">
      <w:pPr>
        <w:spacing w:after="120"/>
        <w:jc w:val="both"/>
        <w:rPr>
          <w:rFonts w:cstheme="minorHAnsi"/>
          <w:sz w:val="20"/>
          <w:szCs w:val="20"/>
        </w:rPr>
      </w:pPr>
      <w:r w:rsidRPr="009660DC">
        <w:rPr>
          <w:rFonts w:cstheme="minorHAnsi"/>
          <w:sz w:val="20"/>
          <w:szCs w:val="20"/>
        </w:rPr>
        <w:t xml:space="preserve">Investment decisions can cause, contribute to, or be directly associated with negative - material or likely material - impacts on the sustainability factors (Adverse Sustainability Impacts).  Sustainability factors include environmental, </w:t>
      </w:r>
      <w:proofErr w:type="gramStart"/>
      <w:r w:rsidRPr="009660DC">
        <w:rPr>
          <w:rFonts w:cstheme="minorHAnsi"/>
          <w:sz w:val="20"/>
          <w:szCs w:val="20"/>
        </w:rPr>
        <w:t>social</w:t>
      </w:r>
      <w:proofErr w:type="gramEnd"/>
      <w:r w:rsidRPr="009660DC">
        <w:rPr>
          <w:rFonts w:cstheme="minorHAnsi"/>
          <w:sz w:val="20"/>
          <w:szCs w:val="20"/>
        </w:rPr>
        <w:t xml:space="preserve"> and labor concerns, respect for human rights, and combating corruption and bribery. The sustainability factors are also referred to as "ESG criteria." The English abbreviation ESG stands for ecological (E) and social (S) criteria as well as for criteria of</w:t>
      </w:r>
      <w:r w:rsidR="00C0297D" w:rsidRPr="009660DC">
        <w:rPr>
          <w:rFonts w:cstheme="minorHAnsi"/>
          <w:sz w:val="20"/>
          <w:szCs w:val="20"/>
        </w:rPr>
        <w:t xml:space="preserve"> good corporate </w:t>
      </w:r>
      <w:r w:rsidR="000A1BEE" w:rsidRPr="009660DC">
        <w:rPr>
          <w:rFonts w:cstheme="minorHAnsi"/>
          <w:sz w:val="20"/>
          <w:szCs w:val="20"/>
        </w:rPr>
        <w:t>governance (G</w:t>
      </w:r>
      <w:r w:rsidRPr="009660DC">
        <w:rPr>
          <w:rFonts w:cstheme="minorHAnsi"/>
          <w:sz w:val="20"/>
          <w:szCs w:val="20"/>
        </w:rPr>
        <w:t>).</w:t>
      </w:r>
    </w:p>
    <w:p w14:paraId="15CE62A8" w14:textId="76BDE4A9" w:rsidR="00136C06" w:rsidRPr="009660DC" w:rsidRDefault="00136C06" w:rsidP="00136C06">
      <w:pPr>
        <w:spacing w:after="120"/>
        <w:jc w:val="both"/>
        <w:rPr>
          <w:rFonts w:cstheme="minorHAnsi"/>
          <w:sz w:val="20"/>
          <w:szCs w:val="20"/>
        </w:rPr>
      </w:pPr>
      <w:r w:rsidRPr="009660DC">
        <w:rPr>
          <w:rFonts w:cstheme="minorHAnsi"/>
          <w:sz w:val="20"/>
          <w:szCs w:val="20"/>
        </w:rPr>
        <w:t xml:space="preserve">Considering sustainability aspects is a very important factor for us. We take a holistic view of sustainability and have accordingly integrated important ESG aspects into our investment decision-making. This helps us to identify ESG-related risks and opportunities beyond the usual financial analysis, and to make investment decisions that are responsible from a long-term perspective. The Principles for Responsible Investment (PRI), which Munich Re helped create, constitute the foundation of our sustainable investment approach. </w:t>
      </w:r>
    </w:p>
    <w:p w14:paraId="131F06CC" w14:textId="6DFA16BC" w:rsidR="00136C06" w:rsidRPr="009660DC" w:rsidRDefault="00136C06" w:rsidP="00136C06">
      <w:pPr>
        <w:spacing w:after="120"/>
        <w:jc w:val="both"/>
        <w:rPr>
          <w:rFonts w:cstheme="minorHAnsi"/>
          <w:sz w:val="20"/>
          <w:szCs w:val="20"/>
        </w:rPr>
      </w:pPr>
      <w:r w:rsidRPr="009660DC">
        <w:rPr>
          <w:rFonts w:cstheme="minorHAnsi"/>
          <w:sz w:val="20"/>
          <w:szCs w:val="20"/>
        </w:rPr>
        <w:t>Our investments are handled according to three pillars: defined exclusion criteria, key fields of investment such as renewable energy or green bonds, and the systematic integration of ESG criteria into the investment process.</w:t>
      </w:r>
    </w:p>
    <w:p w14:paraId="5BD0DB66" w14:textId="3D156BF2" w:rsidR="00136C06" w:rsidRPr="009660DC" w:rsidRDefault="00136C06" w:rsidP="00136C06">
      <w:pPr>
        <w:spacing w:after="120"/>
        <w:jc w:val="both"/>
        <w:rPr>
          <w:rFonts w:cstheme="minorHAnsi"/>
          <w:sz w:val="20"/>
          <w:szCs w:val="20"/>
        </w:rPr>
      </w:pPr>
      <w:r w:rsidRPr="009660DC">
        <w:rPr>
          <w:rFonts w:cstheme="minorHAnsi"/>
          <w:sz w:val="20"/>
          <w:szCs w:val="20"/>
        </w:rPr>
        <w:t xml:space="preserve">To underline our dedication, Munich Re joined the Net-Zero Asset Owner Alliance in 2020 and is striving to decarbonize its asset portfolio by 2050. With this membership, the group has pledged to withdraw from thermal coal by 2040. As a step in this direction, the Munich Re Group has adopted the Ambition 2025, a climate strategy for our investments that provides clear targets for the contribution to climate protection. These goals are set on group level and </w:t>
      </w:r>
      <w:r w:rsidR="00C72365" w:rsidRPr="009660DC">
        <w:rPr>
          <w:rFonts w:cstheme="minorHAnsi"/>
          <w:sz w:val="20"/>
          <w:szCs w:val="20"/>
        </w:rPr>
        <w:t>ERGO</w:t>
      </w:r>
      <w:r w:rsidRPr="009660DC">
        <w:rPr>
          <w:rFonts w:cstheme="minorHAnsi"/>
          <w:sz w:val="20"/>
          <w:szCs w:val="20"/>
        </w:rPr>
        <w:t xml:space="preserve"> contributes to reach</w:t>
      </w:r>
      <w:r w:rsidR="00C0297D" w:rsidRPr="009660DC">
        <w:rPr>
          <w:rFonts w:cstheme="minorHAnsi"/>
          <w:sz w:val="20"/>
          <w:szCs w:val="20"/>
        </w:rPr>
        <w:t>ing these goals as far as possi</w:t>
      </w:r>
      <w:r w:rsidRPr="009660DC">
        <w:rPr>
          <w:rFonts w:cstheme="minorHAnsi"/>
          <w:sz w:val="20"/>
          <w:szCs w:val="20"/>
        </w:rPr>
        <w:t>ble.</w:t>
      </w:r>
    </w:p>
    <w:p w14:paraId="07FF92F6" w14:textId="4A99B46B" w:rsidR="00136C06" w:rsidRPr="009660DC" w:rsidRDefault="00C72365" w:rsidP="00E15A5E">
      <w:pPr>
        <w:spacing w:after="120"/>
        <w:jc w:val="both"/>
        <w:rPr>
          <w:rFonts w:cstheme="minorHAnsi"/>
          <w:sz w:val="20"/>
          <w:szCs w:val="20"/>
        </w:rPr>
      </w:pPr>
      <w:r w:rsidRPr="009660DC">
        <w:rPr>
          <w:rFonts w:cstheme="minorHAnsi"/>
          <w:sz w:val="20"/>
          <w:szCs w:val="20"/>
        </w:rPr>
        <w:t xml:space="preserve">ERGO </w:t>
      </w:r>
      <w:r w:rsidR="00136C06" w:rsidRPr="009660DC">
        <w:rPr>
          <w:rFonts w:cstheme="minorHAnsi"/>
          <w:sz w:val="20"/>
          <w:szCs w:val="20"/>
        </w:rPr>
        <w:t>has already ceased to invest in companies that generate more than 30% of their earnings from thermal coal. Companies that generate 15% to 30% of their earnings from thermal coal are either excluded from the investment universe or,</w:t>
      </w:r>
      <w:r w:rsidR="00C344F1" w:rsidRPr="009660DC">
        <w:rPr>
          <w:rFonts w:cstheme="minorHAnsi"/>
          <w:sz w:val="20"/>
          <w:szCs w:val="20"/>
        </w:rPr>
        <w:t xml:space="preserve"> </w:t>
      </w:r>
      <w:r w:rsidR="00136C06" w:rsidRPr="009660DC">
        <w:rPr>
          <w:rFonts w:cstheme="minorHAnsi"/>
          <w:sz w:val="20"/>
          <w:szCs w:val="20"/>
        </w:rPr>
        <w:t>in selective cases, engaged via a dialogue with the respective companies. Our internal asset manager MEAG engag</w:t>
      </w:r>
      <w:r w:rsidR="00C0297D" w:rsidRPr="009660DC">
        <w:rPr>
          <w:rFonts w:cstheme="minorHAnsi"/>
          <w:sz w:val="20"/>
          <w:szCs w:val="20"/>
        </w:rPr>
        <w:t>es the companies, either collect</w:t>
      </w:r>
      <w:r w:rsidR="00136C06" w:rsidRPr="009660DC">
        <w:rPr>
          <w:rFonts w:cstheme="minorHAnsi"/>
          <w:sz w:val="20"/>
          <w:szCs w:val="20"/>
        </w:rPr>
        <w:t>ively (</w:t>
      </w:r>
      <w:r w:rsidR="009660DC" w:rsidRPr="009660DC">
        <w:rPr>
          <w:rFonts w:cstheme="minorHAnsi"/>
          <w:sz w:val="20"/>
          <w:szCs w:val="20"/>
        </w:rPr>
        <w:t>e.g.,</w:t>
      </w:r>
      <w:r w:rsidR="00136C06" w:rsidRPr="009660DC">
        <w:rPr>
          <w:rFonts w:cstheme="minorHAnsi"/>
          <w:sz w:val="20"/>
          <w:szCs w:val="20"/>
        </w:rPr>
        <w:t xml:space="preserve"> in the framework of Climate Action 100+) or individually. </w:t>
      </w:r>
    </w:p>
    <w:p w14:paraId="700A4DCF" w14:textId="3923F334" w:rsidR="00A56598" w:rsidRPr="009660DC" w:rsidRDefault="00136C06" w:rsidP="00695244">
      <w:pPr>
        <w:spacing w:after="120"/>
        <w:jc w:val="both"/>
        <w:rPr>
          <w:rFonts w:cstheme="minorHAnsi"/>
          <w:sz w:val="20"/>
          <w:szCs w:val="20"/>
        </w:rPr>
      </w:pPr>
      <w:r w:rsidRPr="009660DC">
        <w:rPr>
          <w:rFonts w:cstheme="minorHAnsi"/>
          <w:sz w:val="20"/>
          <w:szCs w:val="20"/>
        </w:rPr>
        <w:t>Actual and potential investments are screened for negative impacts on these environmental factors. Investments in companies that generate more than 10% of their earnings from the mining of oil sands are not permitted.</w:t>
      </w:r>
      <w:r w:rsidR="00C0297D" w:rsidRPr="009660DC">
        <w:rPr>
          <w:rFonts w:cstheme="minorHAnsi"/>
          <w:sz w:val="20"/>
          <w:szCs w:val="20"/>
        </w:rPr>
        <w:t xml:space="preserve"> </w:t>
      </w:r>
      <w:r w:rsidRPr="009660DC">
        <w:rPr>
          <w:rFonts w:cstheme="minorHAnsi"/>
          <w:sz w:val="20"/>
          <w:szCs w:val="20"/>
        </w:rPr>
        <w:t>We also consider the adherence to social standards, employment conditions, human rights as well as the fight against corruption and bribery. We exclude investments in companies that manufacture prohibited weapons (cluster bombs and anti-personnel mines). We also exclude investment in food commodities (</w:t>
      </w:r>
      <w:r w:rsidR="009660DC" w:rsidRPr="009660DC">
        <w:rPr>
          <w:rFonts w:cstheme="minorHAnsi"/>
          <w:sz w:val="20"/>
          <w:szCs w:val="20"/>
        </w:rPr>
        <w:t>e.g.,</w:t>
      </w:r>
      <w:r w:rsidRPr="009660DC">
        <w:rPr>
          <w:rFonts w:cstheme="minorHAnsi"/>
          <w:sz w:val="20"/>
          <w:szCs w:val="20"/>
        </w:rPr>
        <w:t xml:space="preserve"> grains and oilseeds, livestock, dairy).</w:t>
      </w:r>
      <w:r w:rsidR="00A10A0D" w:rsidRPr="009660DC">
        <w:rPr>
          <w:rFonts w:cstheme="minorHAnsi"/>
          <w:sz w:val="20"/>
          <w:szCs w:val="20"/>
        </w:rPr>
        <w:t xml:space="preserve"> </w:t>
      </w:r>
      <w:r w:rsidR="00C0297D" w:rsidRPr="009660DC">
        <w:rPr>
          <w:rFonts w:cstheme="minorHAnsi"/>
          <w:sz w:val="20"/>
          <w:szCs w:val="20"/>
        </w:rPr>
        <w:t>I</w:t>
      </w:r>
      <w:r w:rsidRPr="009660DC">
        <w:rPr>
          <w:rFonts w:cstheme="minorHAnsi"/>
          <w:sz w:val="20"/>
          <w:szCs w:val="20"/>
        </w:rPr>
        <w:t>nvestments in government bonds and bonds of government-related institutions of countries rated "CCC" by MSCI (ESG Rating scale AAA-CCC) are not permitted.</w:t>
      </w:r>
    </w:p>
    <w:p w14:paraId="472FC430" w14:textId="77777777" w:rsidR="00932B6F" w:rsidRPr="009660DC" w:rsidRDefault="00A56598" w:rsidP="00932B6F">
      <w:pPr>
        <w:spacing w:after="120"/>
        <w:jc w:val="both"/>
      </w:pPr>
      <w:r w:rsidRPr="009660DC">
        <w:rPr>
          <w:rFonts w:cstheme="minorHAnsi"/>
          <w:sz w:val="20"/>
          <w:szCs w:val="20"/>
        </w:rPr>
        <w:lastRenderedPageBreak/>
        <w:t>We consider principal adverse impact</w:t>
      </w:r>
      <w:r w:rsidR="004B10EA" w:rsidRPr="009660DC">
        <w:rPr>
          <w:rFonts w:cstheme="minorHAnsi"/>
          <w:sz w:val="20"/>
          <w:szCs w:val="20"/>
        </w:rPr>
        <w:t>s</w:t>
      </w:r>
      <w:r w:rsidRPr="009660DC">
        <w:rPr>
          <w:rFonts w:cstheme="minorHAnsi"/>
          <w:sz w:val="20"/>
          <w:szCs w:val="20"/>
        </w:rPr>
        <w:t xml:space="preserve"> on entity level by measuring and monitoring the aggregated negative impact on sustainability factors of our investments. We consider 14 mandatory principal adverse impact indicators and two </w:t>
      </w:r>
      <w:r w:rsidR="004B10EA" w:rsidRPr="009660DC">
        <w:rPr>
          <w:rFonts w:cstheme="minorHAnsi"/>
          <w:sz w:val="20"/>
          <w:szCs w:val="20"/>
        </w:rPr>
        <w:t>optional</w:t>
      </w:r>
      <w:r w:rsidRPr="009660DC">
        <w:rPr>
          <w:rFonts w:cstheme="minorHAnsi"/>
          <w:sz w:val="20"/>
          <w:szCs w:val="20"/>
        </w:rPr>
        <w:t xml:space="preserve"> indicators defined by the Sustainable Finance Disclosure Regulation (SFDR), subject to data availability and quality.</w:t>
      </w:r>
      <w:r w:rsidR="00932B6F" w:rsidRPr="009660DC">
        <w:t xml:space="preserve"> </w:t>
      </w:r>
    </w:p>
    <w:p w14:paraId="0D7855F2" w14:textId="00126487" w:rsidR="008E540C" w:rsidRPr="009660DC" w:rsidRDefault="00932B6F" w:rsidP="00932B6F">
      <w:pPr>
        <w:spacing w:after="120"/>
        <w:jc w:val="both"/>
        <w:rPr>
          <w:rFonts w:cstheme="minorHAnsi"/>
          <w:sz w:val="20"/>
          <w:szCs w:val="20"/>
        </w:rPr>
      </w:pPr>
      <w:r w:rsidRPr="009660DC">
        <w:rPr>
          <w:rFonts w:cstheme="minorHAnsi"/>
          <w:sz w:val="20"/>
          <w:szCs w:val="20"/>
        </w:rPr>
        <w:t xml:space="preserve">Since </w:t>
      </w:r>
      <w:r w:rsidR="007F353D" w:rsidRPr="009660DC">
        <w:rPr>
          <w:rFonts w:cstheme="minorHAnsi"/>
          <w:sz w:val="20"/>
          <w:szCs w:val="20"/>
        </w:rPr>
        <w:t xml:space="preserve">several </w:t>
      </w:r>
      <w:r w:rsidR="009660DC" w:rsidRPr="009660DC">
        <w:rPr>
          <w:rFonts w:cstheme="minorHAnsi"/>
          <w:sz w:val="20"/>
          <w:szCs w:val="20"/>
        </w:rPr>
        <w:t>companies as</w:t>
      </w:r>
      <w:r w:rsidR="00BD696C" w:rsidRPr="009660DC">
        <w:rPr>
          <w:rFonts w:cstheme="minorHAnsi"/>
          <w:sz w:val="20"/>
          <w:szCs w:val="20"/>
        </w:rPr>
        <w:t xml:space="preserve"> well as funds </w:t>
      </w:r>
      <w:r w:rsidRPr="009660DC">
        <w:rPr>
          <w:rFonts w:cstheme="minorHAnsi"/>
          <w:sz w:val="20"/>
          <w:szCs w:val="20"/>
        </w:rPr>
        <w:t xml:space="preserve">are not required to </w:t>
      </w:r>
      <w:r w:rsidR="007507C0" w:rsidRPr="009660DC">
        <w:rPr>
          <w:rFonts w:cstheme="minorHAnsi"/>
          <w:sz w:val="20"/>
          <w:szCs w:val="20"/>
        </w:rPr>
        <w:t xml:space="preserve">publish </w:t>
      </w:r>
      <w:r w:rsidRPr="009660DC">
        <w:rPr>
          <w:rFonts w:cstheme="minorHAnsi"/>
          <w:sz w:val="20"/>
          <w:szCs w:val="20"/>
        </w:rPr>
        <w:t>PAI</w:t>
      </w:r>
      <w:r w:rsidR="007507C0" w:rsidRPr="009660DC">
        <w:rPr>
          <w:rFonts w:cstheme="minorHAnsi"/>
          <w:sz w:val="20"/>
          <w:szCs w:val="20"/>
        </w:rPr>
        <w:t xml:space="preserve"> (Principal Adverse</w:t>
      </w:r>
      <w:r w:rsidR="007F353D" w:rsidRPr="009660DC">
        <w:rPr>
          <w:rFonts w:cstheme="minorHAnsi"/>
          <w:sz w:val="20"/>
          <w:szCs w:val="20"/>
        </w:rPr>
        <w:t xml:space="preserve"> </w:t>
      </w:r>
      <w:r w:rsidR="007507C0" w:rsidRPr="009660DC">
        <w:rPr>
          <w:rFonts w:cstheme="minorHAnsi"/>
          <w:sz w:val="20"/>
          <w:szCs w:val="20"/>
        </w:rPr>
        <w:t xml:space="preserve">Impact) statement </w:t>
      </w:r>
      <w:r w:rsidRPr="009660DC">
        <w:rPr>
          <w:rFonts w:cstheme="minorHAnsi"/>
          <w:sz w:val="20"/>
          <w:szCs w:val="20"/>
        </w:rPr>
        <w:t>yet, many metrics are sourced from a variety of data providers</w:t>
      </w:r>
      <w:r w:rsidR="00BD696C" w:rsidRPr="009660DC">
        <w:rPr>
          <w:rFonts w:cstheme="minorHAnsi"/>
          <w:sz w:val="20"/>
          <w:szCs w:val="20"/>
        </w:rPr>
        <w:t xml:space="preserve"> to the extent of available data</w:t>
      </w:r>
      <w:r w:rsidRPr="009660DC">
        <w:rPr>
          <w:rFonts w:cstheme="minorHAnsi"/>
          <w:sz w:val="20"/>
          <w:szCs w:val="20"/>
        </w:rPr>
        <w:t xml:space="preserve">. </w:t>
      </w:r>
      <w:r w:rsidR="00BD696C" w:rsidRPr="009660DC">
        <w:rPr>
          <w:rFonts w:cstheme="minorHAnsi"/>
          <w:sz w:val="20"/>
          <w:szCs w:val="20"/>
        </w:rPr>
        <w:t xml:space="preserve">Particularly, there is no PAI data </w:t>
      </w:r>
      <w:r w:rsidR="007507C0" w:rsidRPr="009660DC">
        <w:rPr>
          <w:rFonts w:cstheme="minorHAnsi"/>
          <w:sz w:val="20"/>
          <w:szCs w:val="20"/>
        </w:rPr>
        <w:t>currently</w:t>
      </w:r>
      <w:r w:rsidR="00BD696C" w:rsidRPr="009660DC">
        <w:rPr>
          <w:rFonts w:cstheme="minorHAnsi"/>
          <w:sz w:val="20"/>
          <w:szCs w:val="20"/>
        </w:rPr>
        <w:t xml:space="preserve"> available for</w:t>
      </w:r>
      <w:r w:rsidR="000A57EE" w:rsidRPr="009660DC">
        <w:rPr>
          <w:rFonts w:cstheme="minorHAnsi"/>
          <w:sz w:val="20"/>
          <w:szCs w:val="20"/>
        </w:rPr>
        <w:t xml:space="preserve"> few corporate bonds, participatory investment, intra-group loan and investment </w:t>
      </w:r>
      <w:r w:rsidR="00BD696C" w:rsidRPr="009660DC">
        <w:rPr>
          <w:rFonts w:cstheme="minorHAnsi"/>
          <w:sz w:val="20"/>
          <w:szCs w:val="20"/>
        </w:rPr>
        <w:t>funds</w:t>
      </w:r>
      <w:r w:rsidR="000A57EE" w:rsidRPr="009660DC">
        <w:rPr>
          <w:rFonts w:cstheme="minorHAnsi"/>
          <w:sz w:val="20"/>
          <w:szCs w:val="20"/>
        </w:rPr>
        <w:t xml:space="preserve"> held</w:t>
      </w:r>
      <w:r w:rsidR="00BD696C" w:rsidRPr="009660DC">
        <w:rPr>
          <w:rFonts w:cstheme="minorHAnsi"/>
          <w:sz w:val="20"/>
          <w:szCs w:val="20"/>
        </w:rPr>
        <w:t xml:space="preserve"> in our portfolio. </w:t>
      </w:r>
      <w:r w:rsidRPr="009660DC">
        <w:rPr>
          <w:rFonts w:cstheme="minorHAnsi"/>
          <w:sz w:val="20"/>
          <w:szCs w:val="20"/>
        </w:rPr>
        <w:t xml:space="preserve">We expect to see significant changes in the data we get from companies </w:t>
      </w:r>
      <w:r w:rsidR="00BD696C" w:rsidRPr="009660DC">
        <w:rPr>
          <w:rFonts w:cstheme="minorHAnsi"/>
          <w:sz w:val="20"/>
          <w:szCs w:val="20"/>
        </w:rPr>
        <w:t xml:space="preserve">and funds </w:t>
      </w:r>
      <w:r w:rsidRPr="009660DC">
        <w:rPr>
          <w:rFonts w:cstheme="minorHAnsi"/>
          <w:sz w:val="20"/>
          <w:szCs w:val="20"/>
        </w:rPr>
        <w:t xml:space="preserve">in the coming years and, </w:t>
      </w:r>
      <w:r w:rsidR="007507C0" w:rsidRPr="009660DC">
        <w:rPr>
          <w:rFonts w:cstheme="minorHAnsi"/>
          <w:sz w:val="20"/>
          <w:szCs w:val="20"/>
        </w:rPr>
        <w:t>consequently</w:t>
      </w:r>
      <w:r w:rsidRPr="009660DC">
        <w:rPr>
          <w:rFonts w:cstheme="minorHAnsi"/>
          <w:sz w:val="20"/>
          <w:szCs w:val="20"/>
        </w:rPr>
        <w:t>, data quality</w:t>
      </w:r>
      <w:r w:rsidR="00BD696C" w:rsidRPr="009660DC">
        <w:rPr>
          <w:rFonts w:cstheme="minorHAnsi"/>
          <w:sz w:val="20"/>
          <w:szCs w:val="20"/>
        </w:rPr>
        <w:t xml:space="preserve">, </w:t>
      </w:r>
      <w:r w:rsidRPr="009660DC">
        <w:rPr>
          <w:rFonts w:cstheme="minorHAnsi"/>
          <w:sz w:val="20"/>
          <w:szCs w:val="20"/>
        </w:rPr>
        <w:t xml:space="preserve">coverage </w:t>
      </w:r>
      <w:r w:rsidR="00BD696C" w:rsidRPr="009660DC">
        <w:rPr>
          <w:rFonts w:cstheme="minorHAnsi"/>
          <w:sz w:val="20"/>
          <w:szCs w:val="20"/>
        </w:rPr>
        <w:t xml:space="preserve">as well as the tools we use </w:t>
      </w:r>
      <w:r w:rsidRPr="009660DC">
        <w:rPr>
          <w:rFonts w:cstheme="minorHAnsi"/>
          <w:sz w:val="20"/>
          <w:szCs w:val="20"/>
        </w:rPr>
        <w:t>to improve over time.</w:t>
      </w:r>
      <w:r w:rsidRPr="009660DC">
        <w:t xml:space="preserve"> </w:t>
      </w:r>
    </w:p>
    <w:p w14:paraId="1447382E" w14:textId="46B3E303" w:rsidR="00A56598" w:rsidRPr="009660DC" w:rsidRDefault="00BD696C" w:rsidP="00695244">
      <w:pPr>
        <w:spacing w:after="120"/>
        <w:jc w:val="both"/>
        <w:rPr>
          <w:rFonts w:cstheme="minorHAnsi"/>
          <w:sz w:val="20"/>
          <w:szCs w:val="20"/>
        </w:rPr>
      </w:pPr>
      <w:r w:rsidRPr="009660DC">
        <w:rPr>
          <w:rFonts w:cstheme="minorHAnsi"/>
          <w:sz w:val="20"/>
          <w:szCs w:val="20"/>
        </w:rPr>
        <w:t>As mentioned above</w:t>
      </w:r>
      <w:r w:rsidR="00F02E0C" w:rsidRPr="009660DC">
        <w:rPr>
          <w:rFonts w:cstheme="minorHAnsi"/>
          <w:sz w:val="20"/>
          <w:szCs w:val="20"/>
        </w:rPr>
        <w:t>,</w:t>
      </w:r>
      <w:r w:rsidR="004B10EA" w:rsidRPr="009660DC">
        <w:rPr>
          <w:rFonts w:cstheme="minorHAnsi"/>
          <w:sz w:val="20"/>
          <w:szCs w:val="20"/>
        </w:rPr>
        <w:t xml:space="preserve"> i</w:t>
      </w:r>
      <w:r w:rsidR="00A56598" w:rsidRPr="009660DC">
        <w:rPr>
          <w:rFonts w:cstheme="minorHAnsi"/>
          <w:sz w:val="20"/>
          <w:szCs w:val="20"/>
        </w:rPr>
        <w:t>n addition to the set of mandatory indicators we consider a</w:t>
      </w:r>
      <w:r w:rsidR="00F02E0C" w:rsidRPr="009660DC">
        <w:rPr>
          <w:rFonts w:cstheme="minorHAnsi"/>
          <w:sz w:val="20"/>
          <w:szCs w:val="20"/>
        </w:rPr>
        <w:t xml:space="preserve"> voluntary</w:t>
      </w:r>
      <w:r w:rsidR="00A56598" w:rsidRPr="009660DC">
        <w:rPr>
          <w:rFonts w:cstheme="minorHAnsi"/>
          <w:sz w:val="20"/>
          <w:szCs w:val="20"/>
        </w:rPr>
        <w:t xml:space="preserve"> indicator relating to exposure of our portfolio’s holdings to areas of </w:t>
      </w:r>
      <w:r w:rsidR="009660DC" w:rsidRPr="009660DC">
        <w:rPr>
          <w:rFonts w:cstheme="minorHAnsi"/>
          <w:sz w:val="20"/>
          <w:szCs w:val="20"/>
        </w:rPr>
        <w:t>high-water</w:t>
      </w:r>
      <w:r w:rsidR="00A56598" w:rsidRPr="009660DC">
        <w:rPr>
          <w:rFonts w:cstheme="minorHAnsi"/>
          <w:sz w:val="20"/>
          <w:szCs w:val="20"/>
        </w:rPr>
        <w:t xml:space="preserve"> stress. </w:t>
      </w:r>
      <w:proofErr w:type="gramStart"/>
      <w:r w:rsidR="00A56598" w:rsidRPr="009660DC">
        <w:rPr>
          <w:rFonts w:cstheme="minorHAnsi"/>
          <w:sz w:val="20"/>
          <w:szCs w:val="20"/>
        </w:rPr>
        <w:t>In regard to</w:t>
      </w:r>
      <w:proofErr w:type="gramEnd"/>
      <w:r w:rsidR="00A56598" w:rsidRPr="009660DC">
        <w:rPr>
          <w:rFonts w:cstheme="minorHAnsi"/>
          <w:sz w:val="20"/>
          <w:szCs w:val="20"/>
        </w:rPr>
        <w:t xml:space="preserve"> this indicator, we monitor the share of investments in investee companies with sites located in areas of </w:t>
      </w:r>
      <w:r w:rsidR="009660DC" w:rsidRPr="009660DC">
        <w:rPr>
          <w:rFonts w:cstheme="minorHAnsi"/>
          <w:sz w:val="20"/>
          <w:szCs w:val="20"/>
        </w:rPr>
        <w:t>high-water</w:t>
      </w:r>
      <w:r w:rsidR="00A56598" w:rsidRPr="009660DC">
        <w:rPr>
          <w:rFonts w:cstheme="minorHAnsi"/>
          <w:sz w:val="20"/>
          <w:szCs w:val="20"/>
        </w:rPr>
        <w:t xml:space="preserve"> stress without a water management policy. This indicator is part of the set of additional indicators that relate to climate and the environment, as defined in the SFDR (Table 2, indicator 8).</w:t>
      </w:r>
    </w:p>
    <w:p w14:paraId="368D9A19" w14:textId="639F95C3" w:rsidR="004B10EA" w:rsidRPr="009660DC" w:rsidRDefault="004B10EA" w:rsidP="00695244">
      <w:pPr>
        <w:spacing w:after="120"/>
        <w:jc w:val="both"/>
        <w:rPr>
          <w:rFonts w:cstheme="minorHAnsi"/>
          <w:sz w:val="20"/>
          <w:szCs w:val="20"/>
        </w:rPr>
      </w:pPr>
      <w:r w:rsidRPr="009660DC">
        <w:rPr>
          <w:rFonts w:cstheme="minorHAnsi"/>
          <w:sz w:val="20"/>
          <w:szCs w:val="20"/>
        </w:rPr>
        <w:t xml:space="preserve">We also consider </w:t>
      </w:r>
      <w:r w:rsidR="00A940C7" w:rsidRPr="009660DC">
        <w:rPr>
          <w:rFonts w:cstheme="minorHAnsi"/>
          <w:sz w:val="20"/>
          <w:szCs w:val="20"/>
        </w:rPr>
        <w:t xml:space="preserve">an </w:t>
      </w:r>
      <w:r w:rsidRPr="009660DC">
        <w:rPr>
          <w:rFonts w:cstheme="minorHAnsi"/>
          <w:sz w:val="20"/>
          <w:szCs w:val="20"/>
        </w:rPr>
        <w:t>a</w:t>
      </w:r>
      <w:r w:rsidR="00F02E0C" w:rsidRPr="009660DC">
        <w:rPr>
          <w:rFonts w:cstheme="minorHAnsi"/>
          <w:sz w:val="20"/>
          <w:szCs w:val="20"/>
        </w:rPr>
        <w:t>dditional</w:t>
      </w:r>
      <w:r w:rsidRPr="009660DC">
        <w:rPr>
          <w:rFonts w:cstheme="minorHAnsi"/>
          <w:sz w:val="20"/>
          <w:szCs w:val="20"/>
        </w:rPr>
        <w:t xml:space="preserve"> indicator that relates to </w:t>
      </w:r>
      <w:r w:rsidR="00F02E0C" w:rsidRPr="009660DC">
        <w:rPr>
          <w:rFonts w:cstheme="minorHAnsi"/>
          <w:sz w:val="20"/>
          <w:szCs w:val="20"/>
        </w:rPr>
        <w:t>social and employee matters</w:t>
      </w:r>
      <w:r w:rsidRPr="009660DC">
        <w:rPr>
          <w:rFonts w:cstheme="minorHAnsi"/>
          <w:sz w:val="20"/>
          <w:szCs w:val="20"/>
        </w:rPr>
        <w:t xml:space="preserve">. </w:t>
      </w:r>
      <w:proofErr w:type="gramStart"/>
      <w:r w:rsidRPr="009660DC">
        <w:rPr>
          <w:rFonts w:cstheme="minorHAnsi"/>
          <w:sz w:val="20"/>
          <w:szCs w:val="20"/>
        </w:rPr>
        <w:t>In regard to</w:t>
      </w:r>
      <w:proofErr w:type="gramEnd"/>
      <w:r w:rsidRPr="009660DC">
        <w:rPr>
          <w:rFonts w:cstheme="minorHAnsi"/>
          <w:sz w:val="20"/>
          <w:szCs w:val="20"/>
        </w:rPr>
        <w:t xml:space="preserve"> this </w:t>
      </w:r>
      <w:r w:rsidR="009660DC" w:rsidRPr="009660DC">
        <w:rPr>
          <w:rFonts w:cstheme="minorHAnsi"/>
          <w:sz w:val="20"/>
          <w:szCs w:val="20"/>
        </w:rPr>
        <w:t>indicator,</w:t>
      </w:r>
      <w:r w:rsidRPr="009660DC">
        <w:rPr>
          <w:rFonts w:cstheme="minorHAnsi"/>
          <w:sz w:val="20"/>
          <w:szCs w:val="20"/>
        </w:rPr>
        <w:t xml:space="preserve"> we monitor </w:t>
      </w:r>
      <w:r w:rsidR="00F02E0C" w:rsidRPr="009660DC">
        <w:rPr>
          <w:rFonts w:cstheme="minorHAnsi"/>
          <w:sz w:val="20"/>
          <w:szCs w:val="20"/>
        </w:rPr>
        <w:t>the</w:t>
      </w:r>
      <w:r w:rsidRPr="009660DC">
        <w:rPr>
          <w:rFonts w:cstheme="minorHAnsi"/>
          <w:sz w:val="20"/>
          <w:szCs w:val="20"/>
        </w:rPr>
        <w:t xml:space="preserve"> </w:t>
      </w:r>
      <w:r w:rsidR="00F02E0C" w:rsidRPr="009660DC">
        <w:rPr>
          <w:rFonts w:cstheme="minorHAnsi"/>
          <w:sz w:val="20"/>
          <w:szCs w:val="20"/>
        </w:rPr>
        <w:t xml:space="preserve">rate of workplace accidents in investee companies </w:t>
      </w:r>
      <w:r w:rsidRPr="009660DC">
        <w:rPr>
          <w:rFonts w:cstheme="minorHAnsi"/>
          <w:sz w:val="20"/>
          <w:szCs w:val="20"/>
        </w:rPr>
        <w:t>on a weighted average basis. This indicator is part of the set of additional indicators that relate to social and employee, respect for human rights, anti-</w:t>
      </w:r>
      <w:proofErr w:type="gramStart"/>
      <w:r w:rsidRPr="009660DC">
        <w:rPr>
          <w:rFonts w:cstheme="minorHAnsi"/>
          <w:sz w:val="20"/>
          <w:szCs w:val="20"/>
        </w:rPr>
        <w:t>corruption</w:t>
      </w:r>
      <w:proofErr w:type="gramEnd"/>
      <w:r w:rsidRPr="009660DC">
        <w:rPr>
          <w:rFonts w:cstheme="minorHAnsi"/>
          <w:sz w:val="20"/>
          <w:szCs w:val="20"/>
        </w:rPr>
        <w:t xml:space="preserve"> and anti-bribery matters, as defined in the SFDR (Table 3, indicator </w:t>
      </w:r>
      <w:r w:rsidR="00F02E0C" w:rsidRPr="009660DC">
        <w:rPr>
          <w:rFonts w:cstheme="minorHAnsi"/>
          <w:sz w:val="20"/>
          <w:szCs w:val="20"/>
        </w:rPr>
        <w:t>2</w:t>
      </w:r>
      <w:r w:rsidRPr="009660DC">
        <w:rPr>
          <w:rFonts w:cstheme="minorHAnsi"/>
          <w:sz w:val="20"/>
          <w:szCs w:val="20"/>
        </w:rPr>
        <w:t>).</w:t>
      </w:r>
    </w:p>
    <w:p w14:paraId="62D124C6" w14:textId="77777777" w:rsidR="00A56598" w:rsidRPr="009660DC" w:rsidRDefault="00A56598" w:rsidP="00695244">
      <w:pPr>
        <w:spacing w:after="120"/>
        <w:jc w:val="both"/>
        <w:rPr>
          <w:rFonts w:cstheme="minorHAnsi"/>
          <w:sz w:val="20"/>
          <w:szCs w:val="20"/>
        </w:rPr>
      </w:pPr>
    </w:p>
    <w:p w14:paraId="4F4D82AA" w14:textId="48DE2683" w:rsidR="007B5581" w:rsidRPr="009660DC" w:rsidRDefault="007B5581" w:rsidP="00DC4872">
      <w:pPr>
        <w:jc w:val="both"/>
        <w:rPr>
          <w:rFonts w:ascii="FS Me" w:hAnsi="FS Me"/>
          <w:b/>
          <w:sz w:val="22"/>
        </w:rPr>
        <w:sectPr w:rsidR="007B5581" w:rsidRPr="009660DC" w:rsidSect="008E540C">
          <w:headerReference w:type="default" r:id="rId12"/>
          <w:footerReference w:type="default" r:id="rId13"/>
          <w:pgSz w:w="11907" w:h="16839" w:code="9"/>
          <w:pgMar w:top="1134" w:right="992" w:bottom="1134" w:left="1134" w:header="709" w:footer="709" w:gutter="0"/>
          <w:pgNumType w:start="0"/>
          <w:cols w:space="708"/>
          <w:docGrid w:linePitch="360"/>
        </w:sectPr>
      </w:pPr>
    </w:p>
    <w:p w14:paraId="6B6ECE43" w14:textId="14EBC92B" w:rsidR="00F4562B" w:rsidRPr="009660DC" w:rsidRDefault="00F4562B" w:rsidP="00F4562B">
      <w:pPr>
        <w:rPr>
          <w:b/>
          <w:bCs/>
          <w:noProof/>
        </w:rPr>
      </w:pPr>
      <w:r w:rsidRPr="009660DC">
        <w:rPr>
          <w:b/>
          <w:bCs/>
          <w:noProof/>
        </w:rPr>
        <w:lastRenderedPageBreak/>
        <w:t>Description of the principal adverse impacts on sustainability factors</w:t>
      </w:r>
    </w:p>
    <w:p w14:paraId="34912E98" w14:textId="77777777" w:rsidR="00F4562B" w:rsidRPr="009660DC" w:rsidRDefault="00F4562B" w:rsidP="00F4562B">
      <w:pPr>
        <w:rPr>
          <w:b/>
          <w:bCs/>
          <w:noProof/>
        </w:rPr>
      </w:pPr>
    </w:p>
    <w:p w14:paraId="209F78D3" w14:textId="77777777" w:rsidR="00F4562B" w:rsidRPr="009660DC" w:rsidRDefault="00F4562B" w:rsidP="00F4562B">
      <w:pPr>
        <w:jc w:val="center"/>
        <w:rPr>
          <w:b/>
          <w:noProof/>
        </w:rPr>
      </w:pPr>
      <w:r w:rsidRPr="009660DC">
        <w:rPr>
          <w:b/>
          <w:noProof/>
        </w:rPr>
        <w:t>Indicators applicable to investments in investee companies</w:t>
      </w:r>
    </w:p>
    <w:p w14:paraId="64D3EC62" w14:textId="77777777" w:rsidR="007B5581" w:rsidRPr="009660DC" w:rsidRDefault="007B5581" w:rsidP="007B5581">
      <w:pPr>
        <w:jc w:val="both"/>
        <w:rPr>
          <w:rFonts w:ascii="FS Me" w:hAnsi="FS Me"/>
          <w:b/>
          <w:sz w:val="22"/>
        </w:rPr>
      </w:pPr>
    </w:p>
    <w:p w14:paraId="2EE5446A" w14:textId="2C7E68C8" w:rsidR="00C564E3" w:rsidRPr="009660DC" w:rsidRDefault="00C564E3" w:rsidP="00DC4872">
      <w:pPr>
        <w:jc w:val="both"/>
        <w:rPr>
          <w:rFonts w:ascii="FS Me" w:hAnsi="FS Me"/>
          <w:b/>
          <w:sz w:val="22"/>
        </w:rPr>
      </w:pPr>
    </w:p>
    <w:tbl>
      <w:tblPr>
        <w:tblStyle w:val="TableGrid"/>
        <w:tblW w:w="0" w:type="auto"/>
        <w:tblLook w:val="04A0" w:firstRow="1" w:lastRow="0" w:firstColumn="1" w:lastColumn="0" w:noHBand="0" w:noVBand="1"/>
      </w:tblPr>
      <w:tblGrid>
        <w:gridCol w:w="2171"/>
        <w:gridCol w:w="2124"/>
        <w:gridCol w:w="2172"/>
        <w:gridCol w:w="1735"/>
        <w:gridCol w:w="1721"/>
        <w:gridCol w:w="1485"/>
        <w:gridCol w:w="3153"/>
      </w:tblGrid>
      <w:tr w:rsidR="00144F39" w:rsidRPr="009660DC" w14:paraId="6D791635" w14:textId="77777777" w:rsidTr="00144F39">
        <w:tc>
          <w:tcPr>
            <w:tcW w:w="4295" w:type="dxa"/>
            <w:gridSpan w:val="2"/>
          </w:tcPr>
          <w:p w14:paraId="1BEC8EDC" w14:textId="1A957A3B" w:rsidR="001216F4" w:rsidRPr="009660DC" w:rsidRDefault="00586401" w:rsidP="00FD16E1">
            <w:pPr>
              <w:rPr>
                <w:rFonts w:cstheme="minorHAnsi"/>
                <w:b/>
                <w:sz w:val="18"/>
                <w:szCs w:val="18"/>
              </w:rPr>
            </w:pPr>
            <w:r w:rsidRPr="009660DC">
              <w:rPr>
                <w:rFonts w:cstheme="minorHAnsi"/>
                <w:b/>
                <w:noProof/>
              </w:rPr>
              <w:t>Adverse sustainability indicator</w:t>
            </w:r>
          </w:p>
        </w:tc>
        <w:tc>
          <w:tcPr>
            <w:tcW w:w="2172" w:type="dxa"/>
          </w:tcPr>
          <w:p w14:paraId="5D313E66" w14:textId="2D18277C" w:rsidR="001216F4" w:rsidRPr="009660DC" w:rsidRDefault="00586401" w:rsidP="00FD16E1">
            <w:pPr>
              <w:rPr>
                <w:rFonts w:cstheme="minorHAnsi"/>
                <w:b/>
                <w:sz w:val="18"/>
                <w:szCs w:val="18"/>
              </w:rPr>
            </w:pPr>
            <w:r w:rsidRPr="009660DC">
              <w:rPr>
                <w:rFonts w:cstheme="minorHAnsi"/>
                <w:b/>
                <w:noProof/>
              </w:rPr>
              <w:t>Metric</w:t>
            </w:r>
          </w:p>
        </w:tc>
        <w:tc>
          <w:tcPr>
            <w:tcW w:w="1735" w:type="dxa"/>
          </w:tcPr>
          <w:p w14:paraId="75DE423F" w14:textId="29E40FE4" w:rsidR="001216F4" w:rsidRPr="009660DC" w:rsidRDefault="00586401" w:rsidP="00FD16E1">
            <w:pPr>
              <w:rPr>
                <w:rFonts w:cstheme="minorHAnsi"/>
                <w:b/>
                <w:sz w:val="18"/>
                <w:szCs w:val="18"/>
              </w:rPr>
            </w:pPr>
            <w:r w:rsidRPr="009660DC">
              <w:rPr>
                <w:rFonts w:cstheme="minorHAnsi"/>
                <w:b/>
                <w:noProof/>
              </w:rPr>
              <w:t>Impact 2022</w:t>
            </w:r>
          </w:p>
        </w:tc>
        <w:tc>
          <w:tcPr>
            <w:tcW w:w="1721" w:type="dxa"/>
          </w:tcPr>
          <w:p w14:paraId="4533BCE6" w14:textId="141B5B76" w:rsidR="001216F4" w:rsidRPr="009660DC" w:rsidRDefault="00586401" w:rsidP="00FD16E1">
            <w:pPr>
              <w:rPr>
                <w:rFonts w:cstheme="minorHAnsi"/>
                <w:b/>
                <w:sz w:val="18"/>
                <w:szCs w:val="18"/>
              </w:rPr>
            </w:pPr>
            <w:r w:rsidRPr="009660DC">
              <w:rPr>
                <w:rFonts w:cstheme="minorHAnsi"/>
                <w:b/>
                <w:noProof/>
              </w:rPr>
              <w:t xml:space="preserve">Impact </w:t>
            </w:r>
            <w:r w:rsidR="001216F4" w:rsidRPr="009660DC">
              <w:rPr>
                <w:rFonts w:cstheme="minorHAnsi"/>
                <w:b/>
                <w:sz w:val="18"/>
                <w:szCs w:val="18"/>
              </w:rPr>
              <w:t>2021</w:t>
            </w:r>
          </w:p>
        </w:tc>
        <w:tc>
          <w:tcPr>
            <w:tcW w:w="1485" w:type="dxa"/>
          </w:tcPr>
          <w:p w14:paraId="6CE2A855" w14:textId="7AAC53BA" w:rsidR="001216F4" w:rsidRPr="009660DC" w:rsidRDefault="00586401" w:rsidP="00FD16E1">
            <w:pPr>
              <w:rPr>
                <w:rFonts w:cstheme="minorHAnsi"/>
                <w:b/>
                <w:sz w:val="18"/>
                <w:szCs w:val="18"/>
              </w:rPr>
            </w:pPr>
            <w:r w:rsidRPr="009660DC">
              <w:rPr>
                <w:rFonts w:cstheme="minorHAnsi"/>
                <w:b/>
                <w:noProof/>
              </w:rPr>
              <w:t>Explanation</w:t>
            </w:r>
            <w:r w:rsidR="0013353A" w:rsidRPr="009660DC">
              <w:rPr>
                <w:rStyle w:val="FootnoteReference"/>
                <w:rFonts w:cstheme="minorHAnsi"/>
                <w:b/>
                <w:noProof/>
              </w:rPr>
              <w:footnoteReference w:id="1"/>
            </w:r>
          </w:p>
        </w:tc>
        <w:tc>
          <w:tcPr>
            <w:tcW w:w="3153" w:type="dxa"/>
          </w:tcPr>
          <w:p w14:paraId="4E60AA7B" w14:textId="79A33B17" w:rsidR="001216F4" w:rsidRPr="009660DC" w:rsidRDefault="00586401" w:rsidP="00FD16E1">
            <w:pPr>
              <w:rPr>
                <w:rFonts w:cstheme="minorHAnsi"/>
                <w:b/>
                <w:sz w:val="18"/>
                <w:szCs w:val="18"/>
              </w:rPr>
            </w:pPr>
            <w:r w:rsidRPr="009660DC">
              <w:rPr>
                <w:rFonts w:cstheme="minorHAnsi"/>
                <w:b/>
                <w:noProof/>
              </w:rPr>
              <w:t>Actions taken, and actions planned and targets set for the next reference period</w:t>
            </w:r>
          </w:p>
        </w:tc>
      </w:tr>
      <w:tr w:rsidR="001216F4" w:rsidRPr="009660DC" w14:paraId="382F166E" w14:textId="77777777" w:rsidTr="00C725DE">
        <w:tc>
          <w:tcPr>
            <w:tcW w:w="14561" w:type="dxa"/>
            <w:gridSpan w:val="7"/>
          </w:tcPr>
          <w:p w14:paraId="4B639FD8" w14:textId="77777777" w:rsidR="00586401" w:rsidRPr="009660DC" w:rsidRDefault="00586401" w:rsidP="00586401">
            <w:pPr>
              <w:jc w:val="center"/>
              <w:rPr>
                <w:rFonts w:cstheme="minorHAnsi"/>
                <w:b/>
                <w:noProof/>
              </w:rPr>
            </w:pPr>
            <w:r w:rsidRPr="009660DC">
              <w:rPr>
                <w:rFonts w:cstheme="minorHAnsi"/>
                <w:b/>
                <w:noProof/>
              </w:rPr>
              <w:t>CLIMATE AND OTHER ENVIRONMENT-RELATED INDICATORS</w:t>
            </w:r>
          </w:p>
          <w:p w14:paraId="02B6C1A2" w14:textId="4ABCE32A" w:rsidR="001216F4" w:rsidRPr="009660DC" w:rsidRDefault="001216F4" w:rsidP="00FD16E1">
            <w:pPr>
              <w:rPr>
                <w:rFonts w:cstheme="minorHAnsi"/>
                <w:b/>
                <w:sz w:val="18"/>
                <w:szCs w:val="18"/>
              </w:rPr>
            </w:pPr>
          </w:p>
        </w:tc>
      </w:tr>
      <w:tr w:rsidR="00144F39" w:rsidRPr="009660DC" w14:paraId="6D0506AC" w14:textId="77777777" w:rsidTr="00144F39">
        <w:tc>
          <w:tcPr>
            <w:tcW w:w="2171" w:type="dxa"/>
          </w:tcPr>
          <w:p w14:paraId="017C44BF" w14:textId="23AA4294" w:rsidR="00A940C7" w:rsidRPr="009660DC" w:rsidRDefault="00A940C7" w:rsidP="00FD16E1">
            <w:pPr>
              <w:rPr>
                <w:rFonts w:cstheme="minorHAnsi"/>
                <w:sz w:val="18"/>
                <w:szCs w:val="18"/>
              </w:rPr>
            </w:pPr>
            <w:r w:rsidRPr="009660DC">
              <w:rPr>
                <w:rFonts w:cstheme="minorHAnsi"/>
                <w:noProof/>
              </w:rPr>
              <w:t>Greenhouse gas emissions</w:t>
            </w:r>
          </w:p>
        </w:tc>
        <w:tc>
          <w:tcPr>
            <w:tcW w:w="2124" w:type="dxa"/>
          </w:tcPr>
          <w:p w14:paraId="17660225" w14:textId="324600CB" w:rsidR="00A940C7" w:rsidRPr="009660DC" w:rsidRDefault="00A940C7" w:rsidP="00FD16E1">
            <w:pPr>
              <w:rPr>
                <w:rFonts w:cstheme="minorHAnsi"/>
                <w:sz w:val="18"/>
                <w:szCs w:val="18"/>
              </w:rPr>
            </w:pPr>
            <w:r w:rsidRPr="009660DC">
              <w:rPr>
                <w:rFonts w:cstheme="minorHAnsi"/>
                <w:sz w:val="18"/>
                <w:szCs w:val="18"/>
              </w:rPr>
              <w:t>1</w:t>
            </w:r>
            <w:r w:rsidRPr="009660DC">
              <w:rPr>
                <w:rFonts w:cstheme="minorHAnsi"/>
                <w:noProof/>
              </w:rPr>
              <w:t xml:space="preserve"> GHG emissions</w:t>
            </w:r>
          </w:p>
        </w:tc>
        <w:tc>
          <w:tcPr>
            <w:tcW w:w="2172" w:type="dxa"/>
          </w:tcPr>
          <w:p w14:paraId="3F6D061B" w14:textId="096B9872" w:rsidR="00A940C7" w:rsidRPr="009660DC" w:rsidRDefault="00A940C7" w:rsidP="00FD16E1">
            <w:pPr>
              <w:rPr>
                <w:rFonts w:cstheme="minorHAnsi"/>
                <w:sz w:val="18"/>
                <w:szCs w:val="18"/>
              </w:rPr>
            </w:pPr>
            <w:r w:rsidRPr="009660DC">
              <w:rPr>
                <w:rFonts w:cstheme="minorHAnsi"/>
                <w:noProof/>
              </w:rPr>
              <w:t>Scope 1 GHG emissions</w:t>
            </w:r>
          </w:p>
        </w:tc>
        <w:tc>
          <w:tcPr>
            <w:tcW w:w="1735" w:type="dxa"/>
          </w:tcPr>
          <w:p w14:paraId="35077F70" w14:textId="62BE38C6" w:rsidR="00A940C7" w:rsidRPr="009660DC" w:rsidRDefault="00A940C7" w:rsidP="00FD16E1">
            <w:pPr>
              <w:rPr>
                <w:rFonts w:cstheme="minorHAnsi"/>
                <w:sz w:val="18"/>
                <w:szCs w:val="18"/>
              </w:rPr>
            </w:pPr>
            <w:r w:rsidRPr="009660DC">
              <w:rPr>
                <w:rFonts w:cstheme="minorHAnsi"/>
                <w:sz w:val="18"/>
                <w:szCs w:val="18"/>
              </w:rPr>
              <w:t>3 984,29 tCO2</w:t>
            </w:r>
          </w:p>
        </w:tc>
        <w:tc>
          <w:tcPr>
            <w:tcW w:w="1721" w:type="dxa"/>
          </w:tcPr>
          <w:p w14:paraId="549015C8" w14:textId="25C4B1A1" w:rsidR="00A940C7" w:rsidRPr="009660DC" w:rsidRDefault="00A940C7" w:rsidP="00FD16E1">
            <w:pPr>
              <w:rPr>
                <w:rFonts w:cstheme="minorHAnsi"/>
                <w:sz w:val="18"/>
                <w:szCs w:val="18"/>
              </w:rPr>
            </w:pPr>
            <w:r w:rsidRPr="009660DC">
              <w:rPr>
                <w:rFonts w:cstheme="minorHAnsi"/>
                <w:sz w:val="18"/>
                <w:szCs w:val="18"/>
              </w:rPr>
              <w:t>No data</w:t>
            </w:r>
          </w:p>
        </w:tc>
        <w:tc>
          <w:tcPr>
            <w:tcW w:w="1485" w:type="dxa"/>
          </w:tcPr>
          <w:p w14:paraId="36A08541" w14:textId="1EE0724F" w:rsidR="00A940C7" w:rsidRPr="009660DC" w:rsidRDefault="00A940C7" w:rsidP="00FD16E1">
            <w:pPr>
              <w:rPr>
                <w:rFonts w:cstheme="minorHAnsi"/>
                <w:sz w:val="18"/>
                <w:szCs w:val="18"/>
              </w:rPr>
            </w:pPr>
            <w:r w:rsidRPr="009660DC">
              <w:rPr>
                <w:rFonts w:cstheme="minorHAnsi"/>
                <w:sz w:val="18"/>
                <w:szCs w:val="18"/>
              </w:rPr>
              <w:t>N/A</w:t>
            </w:r>
          </w:p>
        </w:tc>
        <w:tc>
          <w:tcPr>
            <w:tcW w:w="3153" w:type="dxa"/>
            <w:vMerge w:val="restart"/>
          </w:tcPr>
          <w:p w14:paraId="627614EE" w14:textId="77777777" w:rsidR="009660DC" w:rsidRDefault="00F45195" w:rsidP="000354A5">
            <w:pPr>
              <w:rPr>
                <w:rFonts w:cstheme="minorHAnsi"/>
                <w:sz w:val="18"/>
                <w:szCs w:val="18"/>
              </w:rPr>
            </w:pPr>
            <w:r w:rsidRPr="009660DC">
              <w:rPr>
                <w:rFonts w:cstheme="minorHAnsi"/>
                <w:sz w:val="18"/>
                <w:szCs w:val="18"/>
              </w:rPr>
              <w:t>Our Group</w:t>
            </w:r>
            <w:r w:rsidR="00A940C7" w:rsidRPr="009660DC">
              <w:rPr>
                <w:rFonts w:cstheme="minorHAnsi"/>
                <w:sz w:val="18"/>
                <w:szCs w:val="18"/>
              </w:rPr>
              <w:t xml:space="preserve"> join</w:t>
            </w:r>
            <w:r w:rsidRPr="009660DC">
              <w:rPr>
                <w:rFonts w:cstheme="minorHAnsi"/>
                <w:sz w:val="18"/>
                <w:szCs w:val="18"/>
              </w:rPr>
              <w:t xml:space="preserve">ed </w:t>
            </w:r>
            <w:r w:rsidR="00A940C7" w:rsidRPr="009660DC">
              <w:rPr>
                <w:rFonts w:cstheme="minorHAnsi"/>
                <w:sz w:val="18"/>
                <w:szCs w:val="18"/>
              </w:rPr>
              <w:t>the "Net-Zero Asset Owner Alliance" in January 2020</w:t>
            </w:r>
            <w:r w:rsidRPr="009660DC">
              <w:rPr>
                <w:rFonts w:cstheme="minorHAnsi"/>
                <w:sz w:val="18"/>
                <w:szCs w:val="18"/>
              </w:rPr>
              <w:t xml:space="preserve"> and </w:t>
            </w:r>
            <w:r w:rsidR="00A940C7" w:rsidRPr="009660DC">
              <w:rPr>
                <w:rFonts w:cstheme="minorHAnsi"/>
                <w:sz w:val="18"/>
                <w:szCs w:val="18"/>
              </w:rPr>
              <w:t xml:space="preserve">committed to reducing the CO2 emissions of its investment portfolio to net zero by 2050. </w:t>
            </w:r>
            <w:r w:rsidRPr="009660DC">
              <w:rPr>
                <w:rFonts w:cstheme="minorHAnsi"/>
                <w:sz w:val="18"/>
                <w:szCs w:val="18"/>
              </w:rPr>
              <w:t xml:space="preserve">In line with the goals of the Paris Climate Agreement, the investor initiative aims to contribute to limiting the global temperature increase to 1.5 °C. </w:t>
            </w:r>
          </w:p>
          <w:p w14:paraId="4724E229" w14:textId="3DE056FE" w:rsidR="00F45195" w:rsidRPr="009660DC" w:rsidRDefault="00F45195" w:rsidP="000354A5">
            <w:pPr>
              <w:rPr>
                <w:rFonts w:cstheme="minorHAnsi"/>
                <w:color w:val="FF0000"/>
                <w:sz w:val="18"/>
                <w:szCs w:val="18"/>
              </w:rPr>
            </w:pPr>
            <w:r w:rsidRPr="009660DC">
              <w:rPr>
                <w:rFonts w:cstheme="minorHAnsi"/>
                <w:sz w:val="18"/>
                <w:szCs w:val="18"/>
              </w:rPr>
              <w:t>With this membership, the Group has</w:t>
            </w:r>
            <w:r w:rsidR="00A56DE9" w:rsidRPr="009660DC">
              <w:rPr>
                <w:rFonts w:cstheme="minorHAnsi"/>
                <w:sz w:val="18"/>
                <w:szCs w:val="18"/>
              </w:rPr>
              <w:t xml:space="preserve"> also</w:t>
            </w:r>
            <w:r w:rsidRPr="009660DC">
              <w:rPr>
                <w:rFonts w:cstheme="minorHAnsi"/>
                <w:sz w:val="18"/>
                <w:szCs w:val="18"/>
              </w:rPr>
              <w:t xml:space="preserve"> pledged to withdraw from thermal coal by 2040. These goals are set on group level and ERGO contributes to reaching these goals as far as possible. </w:t>
            </w:r>
          </w:p>
        </w:tc>
      </w:tr>
      <w:tr w:rsidR="00144F39" w:rsidRPr="009660DC" w14:paraId="2DEF63A0" w14:textId="77777777" w:rsidTr="00144F39">
        <w:tc>
          <w:tcPr>
            <w:tcW w:w="2171" w:type="dxa"/>
          </w:tcPr>
          <w:p w14:paraId="74DDF522" w14:textId="77777777" w:rsidR="00A940C7" w:rsidRPr="009660DC" w:rsidRDefault="00A940C7" w:rsidP="00FD16E1">
            <w:pPr>
              <w:rPr>
                <w:rFonts w:cstheme="minorHAnsi"/>
                <w:sz w:val="18"/>
                <w:szCs w:val="18"/>
              </w:rPr>
            </w:pPr>
          </w:p>
        </w:tc>
        <w:tc>
          <w:tcPr>
            <w:tcW w:w="2124" w:type="dxa"/>
          </w:tcPr>
          <w:p w14:paraId="021214EA" w14:textId="77777777" w:rsidR="00A940C7" w:rsidRPr="009660DC" w:rsidRDefault="00A940C7" w:rsidP="00FD16E1">
            <w:pPr>
              <w:rPr>
                <w:rFonts w:cstheme="minorHAnsi"/>
                <w:sz w:val="18"/>
                <w:szCs w:val="18"/>
              </w:rPr>
            </w:pPr>
          </w:p>
        </w:tc>
        <w:tc>
          <w:tcPr>
            <w:tcW w:w="2172" w:type="dxa"/>
          </w:tcPr>
          <w:p w14:paraId="0AB8F65B" w14:textId="64C35776" w:rsidR="00A940C7" w:rsidRPr="009660DC" w:rsidRDefault="00A940C7" w:rsidP="00FD16E1">
            <w:pPr>
              <w:rPr>
                <w:rFonts w:cstheme="minorHAnsi"/>
                <w:sz w:val="18"/>
                <w:szCs w:val="18"/>
              </w:rPr>
            </w:pPr>
            <w:r w:rsidRPr="009660DC">
              <w:rPr>
                <w:rFonts w:cstheme="minorHAnsi"/>
                <w:noProof/>
              </w:rPr>
              <w:t>Scope 2 GHG emissions</w:t>
            </w:r>
          </w:p>
        </w:tc>
        <w:tc>
          <w:tcPr>
            <w:tcW w:w="1735" w:type="dxa"/>
          </w:tcPr>
          <w:p w14:paraId="7495EE50" w14:textId="2B3BA306" w:rsidR="00A940C7" w:rsidRPr="009660DC" w:rsidRDefault="00A940C7" w:rsidP="00FD16E1">
            <w:pPr>
              <w:rPr>
                <w:rFonts w:cstheme="minorHAnsi"/>
                <w:sz w:val="18"/>
                <w:szCs w:val="18"/>
              </w:rPr>
            </w:pPr>
            <w:r w:rsidRPr="009660DC">
              <w:rPr>
                <w:rFonts w:cstheme="minorHAnsi"/>
                <w:sz w:val="18"/>
                <w:szCs w:val="18"/>
              </w:rPr>
              <w:t>832,11 tCO2</w:t>
            </w:r>
          </w:p>
        </w:tc>
        <w:tc>
          <w:tcPr>
            <w:tcW w:w="1721" w:type="dxa"/>
          </w:tcPr>
          <w:p w14:paraId="74CFAE04" w14:textId="379A28CE" w:rsidR="00A940C7" w:rsidRPr="009660DC" w:rsidRDefault="00A940C7" w:rsidP="00FD16E1">
            <w:pPr>
              <w:rPr>
                <w:rFonts w:cstheme="minorHAnsi"/>
                <w:sz w:val="18"/>
                <w:szCs w:val="18"/>
              </w:rPr>
            </w:pPr>
            <w:r w:rsidRPr="009660DC">
              <w:rPr>
                <w:rFonts w:cstheme="minorHAnsi"/>
                <w:sz w:val="18"/>
                <w:szCs w:val="18"/>
              </w:rPr>
              <w:t>No data</w:t>
            </w:r>
          </w:p>
        </w:tc>
        <w:tc>
          <w:tcPr>
            <w:tcW w:w="1485" w:type="dxa"/>
          </w:tcPr>
          <w:p w14:paraId="5E53BFAF" w14:textId="2AEC4D25" w:rsidR="00A940C7" w:rsidRPr="009660DC" w:rsidRDefault="00A940C7" w:rsidP="00FD16E1">
            <w:pPr>
              <w:rPr>
                <w:rFonts w:cstheme="minorHAnsi"/>
                <w:sz w:val="18"/>
                <w:szCs w:val="18"/>
              </w:rPr>
            </w:pPr>
            <w:r w:rsidRPr="009660DC">
              <w:rPr>
                <w:rFonts w:cstheme="minorHAnsi"/>
                <w:sz w:val="18"/>
                <w:szCs w:val="18"/>
              </w:rPr>
              <w:t>N/A</w:t>
            </w:r>
          </w:p>
        </w:tc>
        <w:tc>
          <w:tcPr>
            <w:tcW w:w="3153" w:type="dxa"/>
            <w:vMerge/>
          </w:tcPr>
          <w:p w14:paraId="4DED9163" w14:textId="77777777" w:rsidR="00A940C7" w:rsidRPr="009660DC" w:rsidRDefault="00A940C7" w:rsidP="00FD16E1">
            <w:pPr>
              <w:rPr>
                <w:rFonts w:cstheme="minorHAnsi"/>
                <w:sz w:val="18"/>
                <w:szCs w:val="18"/>
              </w:rPr>
            </w:pPr>
          </w:p>
        </w:tc>
      </w:tr>
      <w:tr w:rsidR="00144F39" w:rsidRPr="009660DC" w14:paraId="0FC8D44F" w14:textId="77777777" w:rsidTr="00144F39">
        <w:tc>
          <w:tcPr>
            <w:tcW w:w="2171" w:type="dxa"/>
          </w:tcPr>
          <w:p w14:paraId="53CDB0BD" w14:textId="77777777" w:rsidR="00A940C7" w:rsidRPr="009660DC" w:rsidRDefault="00A940C7" w:rsidP="00586401">
            <w:pPr>
              <w:rPr>
                <w:rFonts w:cstheme="minorHAnsi"/>
                <w:sz w:val="18"/>
                <w:szCs w:val="18"/>
              </w:rPr>
            </w:pPr>
          </w:p>
        </w:tc>
        <w:tc>
          <w:tcPr>
            <w:tcW w:w="2124" w:type="dxa"/>
          </w:tcPr>
          <w:p w14:paraId="150224AB" w14:textId="77777777" w:rsidR="00A940C7" w:rsidRPr="009660DC" w:rsidRDefault="00A940C7" w:rsidP="00586401">
            <w:pPr>
              <w:rPr>
                <w:rFonts w:cstheme="minorHAnsi"/>
                <w:sz w:val="18"/>
                <w:szCs w:val="18"/>
              </w:rPr>
            </w:pPr>
          </w:p>
        </w:tc>
        <w:tc>
          <w:tcPr>
            <w:tcW w:w="2172" w:type="dxa"/>
          </w:tcPr>
          <w:p w14:paraId="0E457E14" w14:textId="3CA19705" w:rsidR="00A940C7" w:rsidRPr="009660DC" w:rsidRDefault="00A940C7" w:rsidP="00586401">
            <w:pPr>
              <w:rPr>
                <w:rFonts w:cstheme="minorHAnsi"/>
                <w:sz w:val="18"/>
                <w:szCs w:val="18"/>
              </w:rPr>
            </w:pPr>
            <w:r w:rsidRPr="009660DC">
              <w:rPr>
                <w:rFonts w:cstheme="minorHAnsi"/>
                <w:noProof/>
              </w:rPr>
              <w:t>Scope 3 GHG emissions</w:t>
            </w:r>
          </w:p>
        </w:tc>
        <w:tc>
          <w:tcPr>
            <w:tcW w:w="1735" w:type="dxa"/>
          </w:tcPr>
          <w:p w14:paraId="232960A9" w14:textId="638FEAF6" w:rsidR="00A940C7" w:rsidRPr="009660DC" w:rsidRDefault="00A940C7" w:rsidP="00586401">
            <w:pPr>
              <w:rPr>
                <w:rFonts w:cstheme="minorHAnsi"/>
                <w:sz w:val="18"/>
                <w:szCs w:val="18"/>
              </w:rPr>
            </w:pPr>
            <w:r w:rsidRPr="009660DC">
              <w:rPr>
                <w:rFonts w:cstheme="minorHAnsi"/>
                <w:sz w:val="18"/>
                <w:szCs w:val="18"/>
              </w:rPr>
              <w:t>25 227,24 tCO2</w:t>
            </w:r>
          </w:p>
        </w:tc>
        <w:tc>
          <w:tcPr>
            <w:tcW w:w="1721" w:type="dxa"/>
          </w:tcPr>
          <w:p w14:paraId="1B028375" w14:textId="295302CE" w:rsidR="00A940C7" w:rsidRPr="009660DC" w:rsidRDefault="00A940C7" w:rsidP="00586401">
            <w:pPr>
              <w:rPr>
                <w:rFonts w:cstheme="minorHAnsi"/>
                <w:sz w:val="18"/>
                <w:szCs w:val="18"/>
              </w:rPr>
            </w:pPr>
            <w:r w:rsidRPr="009660DC">
              <w:rPr>
                <w:rFonts w:cstheme="minorHAnsi"/>
                <w:sz w:val="18"/>
                <w:szCs w:val="18"/>
              </w:rPr>
              <w:t>No data</w:t>
            </w:r>
          </w:p>
        </w:tc>
        <w:tc>
          <w:tcPr>
            <w:tcW w:w="1485" w:type="dxa"/>
          </w:tcPr>
          <w:p w14:paraId="4A79F034" w14:textId="09647E43" w:rsidR="00A940C7" w:rsidRPr="009660DC" w:rsidRDefault="00A940C7" w:rsidP="00586401">
            <w:pPr>
              <w:rPr>
                <w:rFonts w:cstheme="minorHAnsi"/>
                <w:sz w:val="18"/>
                <w:szCs w:val="18"/>
              </w:rPr>
            </w:pPr>
            <w:r w:rsidRPr="009660DC">
              <w:rPr>
                <w:rFonts w:cstheme="minorHAnsi"/>
                <w:sz w:val="18"/>
                <w:szCs w:val="18"/>
              </w:rPr>
              <w:t>N/A</w:t>
            </w:r>
          </w:p>
        </w:tc>
        <w:tc>
          <w:tcPr>
            <w:tcW w:w="3153" w:type="dxa"/>
            <w:vMerge/>
          </w:tcPr>
          <w:p w14:paraId="4300C66B" w14:textId="77777777" w:rsidR="00A940C7" w:rsidRPr="009660DC" w:rsidRDefault="00A940C7" w:rsidP="00586401">
            <w:pPr>
              <w:rPr>
                <w:rFonts w:cstheme="minorHAnsi"/>
                <w:sz w:val="18"/>
                <w:szCs w:val="18"/>
              </w:rPr>
            </w:pPr>
          </w:p>
        </w:tc>
      </w:tr>
      <w:tr w:rsidR="00144F39" w:rsidRPr="009660DC" w14:paraId="31C1E2A5" w14:textId="77777777" w:rsidTr="00144F39">
        <w:tc>
          <w:tcPr>
            <w:tcW w:w="2171" w:type="dxa"/>
          </w:tcPr>
          <w:p w14:paraId="2685A195" w14:textId="77777777" w:rsidR="00A940C7" w:rsidRPr="009660DC" w:rsidRDefault="00A940C7" w:rsidP="00586401">
            <w:pPr>
              <w:rPr>
                <w:rFonts w:cstheme="minorHAnsi"/>
                <w:sz w:val="18"/>
                <w:szCs w:val="18"/>
              </w:rPr>
            </w:pPr>
          </w:p>
        </w:tc>
        <w:tc>
          <w:tcPr>
            <w:tcW w:w="2124" w:type="dxa"/>
          </w:tcPr>
          <w:p w14:paraId="6F94A486" w14:textId="77777777" w:rsidR="00A940C7" w:rsidRPr="009660DC" w:rsidRDefault="00A940C7" w:rsidP="00586401">
            <w:pPr>
              <w:rPr>
                <w:rFonts w:cstheme="minorHAnsi"/>
                <w:sz w:val="18"/>
                <w:szCs w:val="18"/>
              </w:rPr>
            </w:pPr>
          </w:p>
        </w:tc>
        <w:tc>
          <w:tcPr>
            <w:tcW w:w="2172" w:type="dxa"/>
          </w:tcPr>
          <w:p w14:paraId="347888E3" w14:textId="19FB1DA6" w:rsidR="00A940C7" w:rsidRPr="009660DC" w:rsidRDefault="00A940C7" w:rsidP="00586401">
            <w:pPr>
              <w:rPr>
                <w:rFonts w:cstheme="minorHAnsi"/>
                <w:sz w:val="18"/>
                <w:szCs w:val="18"/>
              </w:rPr>
            </w:pPr>
            <w:r w:rsidRPr="009660DC">
              <w:rPr>
                <w:rFonts w:cstheme="minorHAnsi"/>
                <w:noProof/>
              </w:rPr>
              <w:t>Total GHG emissions</w:t>
            </w:r>
          </w:p>
        </w:tc>
        <w:tc>
          <w:tcPr>
            <w:tcW w:w="1735" w:type="dxa"/>
          </w:tcPr>
          <w:p w14:paraId="7551C306" w14:textId="498B35B5" w:rsidR="00A940C7" w:rsidRPr="009660DC" w:rsidRDefault="00A940C7" w:rsidP="00586401">
            <w:pPr>
              <w:rPr>
                <w:rFonts w:cstheme="minorHAnsi"/>
                <w:sz w:val="18"/>
                <w:szCs w:val="18"/>
              </w:rPr>
            </w:pPr>
            <w:r w:rsidRPr="009660DC">
              <w:rPr>
                <w:rFonts w:cstheme="minorHAnsi"/>
                <w:sz w:val="18"/>
                <w:szCs w:val="18"/>
              </w:rPr>
              <w:t>30 043,64 tCO2</w:t>
            </w:r>
          </w:p>
        </w:tc>
        <w:tc>
          <w:tcPr>
            <w:tcW w:w="1721" w:type="dxa"/>
          </w:tcPr>
          <w:p w14:paraId="0F284F00" w14:textId="2D364898" w:rsidR="00A940C7" w:rsidRPr="009660DC" w:rsidRDefault="00A940C7" w:rsidP="00586401">
            <w:pPr>
              <w:rPr>
                <w:rFonts w:cstheme="minorHAnsi"/>
                <w:sz w:val="18"/>
                <w:szCs w:val="18"/>
              </w:rPr>
            </w:pPr>
            <w:r w:rsidRPr="009660DC">
              <w:rPr>
                <w:rFonts w:cstheme="minorHAnsi"/>
                <w:sz w:val="18"/>
                <w:szCs w:val="18"/>
              </w:rPr>
              <w:t>No data</w:t>
            </w:r>
          </w:p>
        </w:tc>
        <w:tc>
          <w:tcPr>
            <w:tcW w:w="1485" w:type="dxa"/>
          </w:tcPr>
          <w:p w14:paraId="186B6102" w14:textId="03E05912" w:rsidR="00A940C7" w:rsidRPr="009660DC" w:rsidRDefault="00A940C7" w:rsidP="00586401">
            <w:pPr>
              <w:rPr>
                <w:rFonts w:cstheme="minorHAnsi"/>
                <w:sz w:val="18"/>
                <w:szCs w:val="18"/>
              </w:rPr>
            </w:pPr>
            <w:r w:rsidRPr="009660DC">
              <w:rPr>
                <w:rFonts w:cstheme="minorHAnsi"/>
                <w:sz w:val="18"/>
                <w:szCs w:val="18"/>
              </w:rPr>
              <w:t>N/A</w:t>
            </w:r>
          </w:p>
        </w:tc>
        <w:tc>
          <w:tcPr>
            <w:tcW w:w="3153" w:type="dxa"/>
            <w:vMerge/>
          </w:tcPr>
          <w:p w14:paraId="6A75516E" w14:textId="77777777" w:rsidR="00A940C7" w:rsidRPr="009660DC" w:rsidRDefault="00A940C7" w:rsidP="00586401">
            <w:pPr>
              <w:rPr>
                <w:rFonts w:cstheme="minorHAnsi"/>
                <w:sz w:val="18"/>
                <w:szCs w:val="18"/>
              </w:rPr>
            </w:pPr>
          </w:p>
        </w:tc>
      </w:tr>
      <w:tr w:rsidR="00144F39" w:rsidRPr="009660DC" w14:paraId="1FBA2E48" w14:textId="77777777" w:rsidTr="00144F39">
        <w:tc>
          <w:tcPr>
            <w:tcW w:w="2171" w:type="dxa"/>
          </w:tcPr>
          <w:p w14:paraId="7620AD2E" w14:textId="77777777" w:rsidR="00A940C7" w:rsidRPr="009660DC" w:rsidRDefault="00A940C7" w:rsidP="00586401">
            <w:pPr>
              <w:rPr>
                <w:rFonts w:cstheme="minorHAnsi"/>
                <w:sz w:val="18"/>
                <w:szCs w:val="18"/>
              </w:rPr>
            </w:pPr>
          </w:p>
        </w:tc>
        <w:tc>
          <w:tcPr>
            <w:tcW w:w="2124" w:type="dxa"/>
          </w:tcPr>
          <w:p w14:paraId="5EA0A45C" w14:textId="53D06CE1" w:rsidR="00A940C7" w:rsidRPr="009660DC" w:rsidRDefault="00A940C7" w:rsidP="00586401">
            <w:pPr>
              <w:rPr>
                <w:rFonts w:cstheme="minorHAnsi"/>
                <w:sz w:val="18"/>
                <w:szCs w:val="18"/>
              </w:rPr>
            </w:pPr>
            <w:r w:rsidRPr="009660DC">
              <w:rPr>
                <w:rFonts w:cstheme="minorHAnsi"/>
                <w:sz w:val="18"/>
                <w:szCs w:val="18"/>
              </w:rPr>
              <w:t xml:space="preserve">2. </w:t>
            </w:r>
            <w:r w:rsidRPr="009660DC">
              <w:rPr>
                <w:rFonts w:cstheme="minorHAnsi"/>
                <w:noProof/>
              </w:rPr>
              <w:t>Carbon footprint</w:t>
            </w:r>
          </w:p>
        </w:tc>
        <w:tc>
          <w:tcPr>
            <w:tcW w:w="2172" w:type="dxa"/>
          </w:tcPr>
          <w:p w14:paraId="53CE57EE" w14:textId="2C95C11D" w:rsidR="00A940C7" w:rsidRPr="009660DC" w:rsidRDefault="00A940C7" w:rsidP="00586401">
            <w:pPr>
              <w:rPr>
                <w:rFonts w:cstheme="minorHAnsi"/>
                <w:sz w:val="18"/>
                <w:szCs w:val="18"/>
              </w:rPr>
            </w:pPr>
            <w:r w:rsidRPr="009660DC">
              <w:rPr>
                <w:rFonts w:cstheme="minorHAnsi"/>
                <w:noProof/>
              </w:rPr>
              <w:t>Carbon footprint</w:t>
            </w:r>
          </w:p>
        </w:tc>
        <w:tc>
          <w:tcPr>
            <w:tcW w:w="1735" w:type="dxa"/>
          </w:tcPr>
          <w:p w14:paraId="4E5ACE55" w14:textId="29135F20" w:rsidR="00A940C7" w:rsidRPr="009660DC" w:rsidRDefault="00A940C7" w:rsidP="00586401">
            <w:pPr>
              <w:rPr>
                <w:rFonts w:cstheme="minorHAnsi"/>
                <w:sz w:val="18"/>
                <w:szCs w:val="18"/>
              </w:rPr>
            </w:pPr>
            <w:r w:rsidRPr="009660DC">
              <w:rPr>
                <w:rFonts w:cstheme="minorHAnsi"/>
                <w:sz w:val="18"/>
                <w:szCs w:val="18"/>
              </w:rPr>
              <w:t>811,69 tCO2e/m€</w:t>
            </w:r>
          </w:p>
        </w:tc>
        <w:tc>
          <w:tcPr>
            <w:tcW w:w="1721" w:type="dxa"/>
          </w:tcPr>
          <w:p w14:paraId="2E101EA1" w14:textId="0990AE70" w:rsidR="00A940C7" w:rsidRPr="009660DC" w:rsidRDefault="00A940C7" w:rsidP="00586401">
            <w:pPr>
              <w:rPr>
                <w:rFonts w:cstheme="minorHAnsi"/>
                <w:sz w:val="18"/>
                <w:szCs w:val="18"/>
              </w:rPr>
            </w:pPr>
            <w:r w:rsidRPr="009660DC">
              <w:rPr>
                <w:rFonts w:cstheme="minorHAnsi"/>
                <w:sz w:val="18"/>
                <w:szCs w:val="18"/>
              </w:rPr>
              <w:t>No data</w:t>
            </w:r>
          </w:p>
        </w:tc>
        <w:tc>
          <w:tcPr>
            <w:tcW w:w="1485" w:type="dxa"/>
          </w:tcPr>
          <w:p w14:paraId="3B73BFCF" w14:textId="1401A353" w:rsidR="00A940C7" w:rsidRPr="009660DC" w:rsidRDefault="00A940C7" w:rsidP="00586401">
            <w:pPr>
              <w:rPr>
                <w:rFonts w:cstheme="minorHAnsi"/>
                <w:sz w:val="18"/>
                <w:szCs w:val="18"/>
              </w:rPr>
            </w:pPr>
            <w:r w:rsidRPr="009660DC">
              <w:rPr>
                <w:rFonts w:cstheme="minorHAnsi"/>
                <w:sz w:val="18"/>
                <w:szCs w:val="18"/>
              </w:rPr>
              <w:t>N/A</w:t>
            </w:r>
          </w:p>
        </w:tc>
        <w:tc>
          <w:tcPr>
            <w:tcW w:w="3153" w:type="dxa"/>
            <w:vMerge/>
          </w:tcPr>
          <w:p w14:paraId="62924050" w14:textId="77777777" w:rsidR="00A940C7" w:rsidRPr="009660DC" w:rsidRDefault="00A940C7" w:rsidP="00586401">
            <w:pPr>
              <w:rPr>
                <w:rFonts w:cstheme="minorHAnsi"/>
                <w:sz w:val="18"/>
                <w:szCs w:val="18"/>
              </w:rPr>
            </w:pPr>
          </w:p>
        </w:tc>
      </w:tr>
      <w:tr w:rsidR="00144F39" w:rsidRPr="009660DC" w14:paraId="4EE5D71B" w14:textId="77777777" w:rsidTr="00144F39">
        <w:tc>
          <w:tcPr>
            <w:tcW w:w="2171" w:type="dxa"/>
          </w:tcPr>
          <w:p w14:paraId="448E453D" w14:textId="77777777" w:rsidR="00A940C7" w:rsidRPr="009660DC" w:rsidRDefault="00A940C7" w:rsidP="00586401">
            <w:pPr>
              <w:rPr>
                <w:rFonts w:cstheme="minorHAnsi"/>
                <w:sz w:val="18"/>
                <w:szCs w:val="18"/>
              </w:rPr>
            </w:pPr>
          </w:p>
        </w:tc>
        <w:tc>
          <w:tcPr>
            <w:tcW w:w="2124" w:type="dxa"/>
          </w:tcPr>
          <w:p w14:paraId="21032122" w14:textId="20E8F20B" w:rsidR="00A940C7" w:rsidRPr="009660DC" w:rsidRDefault="00A940C7" w:rsidP="00586401">
            <w:pPr>
              <w:rPr>
                <w:rFonts w:cstheme="minorHAnsi"/>
                <w:sz w:val="18"/>
                <w:szCs w:val="18"/>
              </w:rPr>
            </w:pPr>
            <w:r w:rsidRPr="009660DC">
              <w:rPr>
                <w:rFonts w:cstheme="minorHAnsi"/>
                <w:sz w:val="18"/>
                <w:szCs w:val="18"/>
              </w:rPr>
              <w:t xml:space="preserve">3. </w:t>
            </w:r>
            <w:r w:rsidRPr="009660DC">
              <w:rPr>
                <w:rFonts w:cstheme="minorHAnsi"/>
                <w:noProof/>
              </w:rPr>
              <w:t>GHG intensity of investee companies</w:t>
            </w:r>
          </w:p>
        </w:tc>
        <w:tc>
          <w:tcPr>
            <w:tcW w:w="2172" w:type="dxa"/>
          </w:tcPr>
          <w:p w14:paraId="101AE561" w14:textId="09C6E074" w:rsidR="00A940C7" w:rsidRPr="009660DC" w:rsidRDefault="00A940C7" w:rsidP="00586401">
            <w:pPr>
              <w:rPr>
                <w:rFonts w:cstheme="minorHAnsi"/>
                <w:sz w:val="18"/>
                <w:szCs w:val="18"/>
              </w:rPr>
            </w:pPr>
            <w:r w:rsidRPr="009660DC">
              <w:rPr>
                <w:rFonts w:cstheme="minorHAnsi"/>
                <w:noProof/>
              </w:rPr>
              <w:t>GHG intensity of investee companies</w:t>
            </w:r>
          </w:p>
        </w:tc>
        <w:tc>
          <w:tcPr>
            <w:tcW w:w="1735" w:type="dxa"/>
          </w:tcPr>
          <w:p w14:paraId="77CE8A40" w14:textId="643ADEBC" w:rsidR="00A940C7" w:rsidRPr="009660DC" w:rsidRDefault="00A940C7" w:rsidP="00586401">
            <w:pPr>
              <w:rPr>
                <w:rFonts w:cstheme="minorHAnsi"/>
                <w:sz w:val="18"/>
                <w:szCs w:val="18"/>
              </w:rPr>
            </w:pPr>
            <w:r w:rsidRPr="009660DC">
              <w:rPr>
                <w:rFonts w:cstheme="minorHAnsi"/>
                <w:sz w:val="18"/>
                <w:szCs w:val="18"/>
              </w:rPr>
              <w:t>1 815,33 tCO2/m€</w:t>
            </w:r>
          </w:p>
        </w:tc>
        <w:tc>
          <w:tcPr>
            <w:tcW w:w="1721" w:type="dxa"/>
          </w:tcPr>
          <w:p w14:paraId="72DE6D69" w14:textId="7B4DFAC5" w:rsidR="00A940C7" w:rsidRPr="009660DC" w:rsidRDefault="00A940C7" w:rsidP="00586401">
            <w:pPr>
              <w:rPr>
                <w:rFonts w:cstheme="minorHAnsi"/>
                <w:sz w:val="18"/>
                <w:szCs w:val="18"/>
              </w:rPr>
            </w:pPr>
            <w:r w:rsidRPr="009660DC">
              <w:rPr>
                <w:rFonts w:cstheme="minorHAnsi"/>
                <w:sz w:val="18"/>
                <w:szCs w:val="18"/>
              </w:rPr>
              <w:t>No data</w:t>
            </w:r>
          </w:p>
        </w:tc>
        <w:tc>
          <w:tcPr>
            <w:tcW w:w="1485" w:type="dxa"/>
          </w:tcPr>
          <w:p w14:paraId="5A1857AB" w14:textId="3D8AE604" w:rsidR="00A940C7" w:rsidRPr="009660DC" w:rsidRDefault="00A940C7" w:rsidP="00586401">
            <w:pPr>
              <w:rPr>
                <w:rFonts w:cstheme="minorHAnsi"/>
                <w:sz w:val="18"/>
                <w:szCs w:val="18"/>
              </w:rPr>
            </w:pPr>
            <w:r w:rsidRPr="009660DC">
              <w:rPr>
                <w:rFonts w:cstheme="minorHAnsi"/>
                <w:sz w:val="18"/>
                <w:szCs w:val="18"/>
              </w:rPr>
              <w:t>N/A</w:t>
            </w:r>
          </w:p>
        </w:tc>
        <w:tc>
          <w:tcPr>
            <w:tcW w:w="3153" w:type="dxa"/>
            <w:vMerge/>
          </w:tcPr>
          <w:p w14:paraId="72E82524" w14:textId="77777777" w:rsidR="00A940C7" w:rsidRPr="009660DC" w:rsidRDefault="00A940C7" w:rsidP="00586401">
            <w:pPr>
              <w:rPr>
                <w:rFonts w:cstheme="minorHAnsi"/>
                <w:sz w:val="18"/>
                <w:szCs w:val="18"/>
              </w:rPr>
            </w:pPr>
          </w:p>
        </w:tc>
      </w:tr>
      <w:tr w:rsidR="00144F39" w:rsidRPr="009660DC" w14:paraId="4AEE506D" w14:textId="77777777" w:rsidTr="00144F39">
        <w:tc>
          <w:tcPr>
            <w:tcW w:w="2171" w:type="dxa"/>
          </w:tcPr>
          <w:p w14:paraId="58CB16DF" w14:textId="77777777" w:rsidR="00A940C7" w:rsidRPr="009660DC" w:rsidRDefault="00A940C7" w:rsidP="00586401">
            <w:pPr>
              <w:rPr>
                <w:rFonts w:cstheme="minorHAnsi"/>
                <w:sz w:val="18"/>
                <w:szCs w:val="18"/>
              </w:rPr>
            </w:pPr>
          </w:p>
        </w:tc>
        <w:tc>
          <w:tcPr>
            <w:tcW w:w="2124" w:type="dxa"/>
          </w:tcPr>
          <w:p w14:paraId="02393B83" w14:textId="4BE4198B" w:rsidR="00A940C7" w:rsidRPr="009660DC" w:rsidRDefault="00A940C7" w:rsidP="00586401">
            <w:pPr>
              <w:rPr>
                <w:rFonts w:cstheme="minorHAnsi"/>
                <w:sz w:val="18"/>
                <w:szCs w:val="18"/>
              </w:rPr>
            </w:pPr>
            <w:r w:rsidRPr="009660DC">
              <w:rPr>
                <w:rFonts w:cstheme="minorHAnsi"/>
                <w:sz w:val="18"/>
                <w:szCs w:val="18"/>
              </w:rPr>
              <w:t xml:space="preserve">4. </w:t>
            </w:r>
            <w:r w:rsidRPr="009660DC">
              <w:rPr>
                <w:rFonts w:cstheme="minorHAnsi"/>
                <w:bCs/>
                <w:noProof/>
              </w:rPr>
              <w:t>Exposure to companies active in the fossil fuel sector</w:t>
            </w:r>
          </w:p>
        </w:tc>
        <w:tc>
          <w:tcPr>
            <w:tcW w:w="2172" w:type="dxa"/>
          </w:tcPr>
          <w:p w14:paraId="68ACC38A" w14:textId="5D34F5CF" w:rsidR="00A940C7" w:rsidRPr="009660DC" w:rsidRDefault="00A940C7" w:rsidP="00586401">
            <w:pPr>
              <w:rPr>
                <w:rFonts w:cstheme="minorHAnsi"/>
                <w:sz w:val="18"/>
                <w:szCs w:val="18"/>
              </w:rPr>
            </w:pPr>
            <w:r w:rsidRPr="009660DC">
              <w:rPr>
                <w:rFonts w:cstheme="minorHAnsi"/>
                <w:noProof/>
              </w:rPr>
              <w:t>Share of investments in companies active in the fossil fuel sector</w:t>
            </w:r>
          </w:p>
        </w:tc>
        <w:tc>
          <w:tcPr>
            <w:tcW w:w="1735" w:type="dxa"/>
          </w:tcPr>
          <w:p w14:paraId="5C0FC75D" w14:textId="3EDF9DEC" w:rsidR="00A940C7" w:rsidRPr="009660DC" w:rsidRDefault="00A940C7" w:rsidP="00586401">
            <w:pPr>
              <w:rPr>
                <w:rFonts w:cstheme="minorHAnsi"/>
                <w:sz w:val="18"/>
                <w:szCs w:val="18"/>
              </w:rPr>
            </w:pPr>
            <w:r w:rsidRPr="009660DC">
              <w:rPr>
                <w:rFonts w:cstheme="minorHAnsi"/>
                <w:sz w:val="18"/>
                <w:szCs w:val="18"/>
              </w:rPr>
              <w:t>13,0%</w:t>
            </w:r>
          </w:p>
        </w:tc>
        <w:tc>
          <w:tcPr>
            <w:tcW w:w="1721" w:type="dxa"/>
          </w:tcPr>
          <w:p w14:paraId="46D672C1" w14:textId="3084F98F" w:rsidR="00A940C7" w:rsidRPr="009660DC" w:rsidRDefault="00A940C7" w:rsidP="00586401">
            <w:pPr>
              <w:rPr>
                <w:rFonts w:cstheme="minorHAnsi"/>
                <w:sz w:val="18"/>
                <w:szCs w:val="18"/>
              </w:rPr>
            </w:pPr>
            <w:r w:rsidRPr="009660DC">
              <w:rPr>
                <w:rFonts w:cstheme="minorHAnsi"/>
                <w:sz w:val="18"/>
                <w:szCs w:val="18"/>
              </w:rPr>
              <w:t>No data</w:t>
            </w:r>
          </w:p>
        </w:tc>
        <w:tc>
          <w:tcPr>
            <w:tcW w:w="1485" w:type="dxa"/>
          </w:tcPr>
          <w:p w14:paraId="2BFD3CFE" w14:textId="3B17EA15" w:rsidR="00A940C7" w:rsidRPr="009660DC" w:rsidRDefault="00A940C7" w:rsidP="00586401">
            <w:pPr>
              <w:rPr>
                <w:rFonts w:cstheme="minorHAnsi"/>
                <w:sz w:val="18"/>
                <w:szCs w:val="18"/>
              </w:rPr>
            </w:pPr>
            <w:r w:rsidRPr="009660DC">
              <w:rPr>
                <w:rFonts w:cstheme="minorHAnsi"/>
                <w:sz w:val="18"/>
                <w:szCs w:val="18"/>
              </w:rPr>
              <w:t>N/A</w:t>
            </w:r>
          </w:p>
        </w:tc>
        <w:tc>
          <w:tcPr>
            <w:tcW w:w="3153" w:type="dxa"/>
            <w:vMerge/>
          </w:tcPr>
          <w:p w14:paraId="2D199ED0" w14:textId="77777777" w:rsidR="00A940C7" w:rsidRPr="009660DC" w:rsidRDefault="00A940C7" w:rsidP="00586401">
            <w:pPr>
              <w:rPr>
                <w:rFonts w:cstheme="minorHAnsi"/>
                <w:sz w:val="18"/>
                <w:szCs w:val="18"/>
              </w:rPr>
            </w:pPr>
          </w:p>
        </w:tc>
      </w:tr>
      <w:tr w:rsidR="00144F39" w:rsidRPr="009660DC" w14:paraId="5C060EAE" w14:textId="77777777" w:rsidTr="00144F39">
        <w:tc>
          <w:tcPr>
            <w:tcW w:w="2171" w:type="dxa"/>
          </w:tcPr>
          <w:p w14:paraId="3718998A" w14:textId="77777777" w:rsidR="00A940C7" w:rsidRPr="009660DC" w:rsidRDefault="00A940C7" w:rsidP="00586401">
            <w:pPr>
              <w:rPr>
                <w:rFonts w:cstheme="minorHAnsi"/>
                <w:sz w:val="18"/>
                <w:szCs w:val="18"/>
              </w:rPr>
            </w:pPr>
          </w:p>
        </w:tc>
        <w:tc>
          <w:tcPr>
            <w:tcW w:w="2124" w:type="dxa"/>
          </w:tcPr>
          <w:p w14:paraId="45C710FC" w14:textId="11EC7CD9" w:rsidR="00A940C7" w:rsidRPr="009660DC" w:rsidRDefault="00A940C7" w:rsidP="00586401">
            <w:pPr>
              <w:rPr>
                <w:rFonts w:cstheme="minorHAnsi"/>
                <w:sz w:val="18"/>
                <w:szCs w:val="18"/>
              </w:rPr>
            </w:pPr>
            <w:r w:rsidRPr="009660DC">
              <w:rPr>
                <w:rFonts w:cstheme="minorHAnsi"/>
                <w:sz w:val="18"/>
                <w:szCs w:val="18"/>
              </w:rPr>
              <w:t xml:space="preserve">5. </w:t>
            </w:r>
            <w:r w:rsidRPr="009660DC">
              <w:rPr>
                <w:rFonts w:cstheme="minorHAnsi"/>
                <w:noProof/>
              </w:rPr>
              <w:t>Share of non-renewable energy consumption and production</w:t>
            </w:r>
          </w:p>
        </w:tc>
        <w:tc>
          <w:tcPr>
            <w:tcW w:w="2172" w:type="dxa"/>
          </w:tcPr>
          <w:p w14:paraId="00E362D3" w14:textId="2B0A068C" w:rsidR="00A940C7" w:rsidRPr="009660DC" w:rsidRDefault="00A940C7" w:rsidP="00586401">
            <w:pPr>
              <w:rPr>
                <w:rFonts w:cstheme="minorHAnsi"/>
                <w:sz w:val="18"/>
                <w:szCs w:val="18"/>
              </w:rPr>
            </w:pPr>
            <w:r w:rsidRPr="009660DC">
              <w:rPr>
                <w:rFonts w:cstheme="minorHAnsi"/>
                <w:noProof/>
              </w:rPr>
              <w:t xml:space="preserve">Share of non-renewable energy consumption and non-renewable energy production of investee companies </w:t>
            </w:r>
            <w:r w:rsidRPr="009660DC">
              <w:rPr>
                <w:rFonts w:cstheme="minorHAnsi"/>
                <w:noProof/>
              </w:rPr>
              <w:lastRenderedPageBreak/>
              <w:t>from non-renewable energy sources compared to renewable energy sources, expressed as a percentage of total energy sources</w:t>
            </w:r>
          </w:p>
        </w:tc>
        <w:tc>
          <w:tcPr>
            <w:tcW w:w="1735" w:type="dxa"/>
          </w:tcPr>
          <w:p w14:paraId="4118B85C" w14:textId="304AAF9E" w:rsidR="00A940C7" w:rsidRPr="009660DC" w:rsidRDefault="00A940C7" w:rsidP="00586401">
            <w:pPr>
              <w:rPr>
                <w:rFonts w:cstheme="minorHAnsi"/>
                <w:sz w:val="18"/>
                <w:szCs w:val="18"/>
              </w:rPr>
            </w:pPr>
            <w:r w:rsidRPr="009660DC">
              <w:rPr>
                <w:rFonts w:cstheme="minorHAnsi"/>
                <w:sz w:val="18"/>
                <w:szCs w:val="18"/>
              </w:rPr>
              <w:lastRenderedPageBreak/>
              <w:t>79,0%</w:t>
            </w:r>
          </w:p>
        </w:tc>
        <w:tc>
          <w:tcPr>
            <w:tcW w:w="1721" w:type="dxa"/>
          </w:tcPr>
          <w:p w14:paraId="2E52F2DF" w14:textId="13B998DB" w:rsidR="00A940C7" w:rsidRPr="009660DC" w:rsidRDefault="00A940C7" w:rsidP="00586401">
            <w:pPr>
              <w:rPr>
                <w:rFonts w:cstheme="minorHAnsi"/>
                <w:sz w:val="18"/>
                <w:szCs w:val="18"/>
              </w:rPr>
            </w:pPr>
            <w:r w:rsidRPr="009660DC">
              <w:rPr>
                <w:rFonts w:cstheme="minorHAnsi"/>
                <w:sz w:val="18"/>
                <w:szCs w:val="18"/>
              </w:rPr>
              <w:t>No data</w:t>
            </w:r>
          </w:p>
        </w:tc>
        <w:tc>
          <w:tcPr>
            <w:tcW w:w="1485" w:type="dxa"/>
          </w:tcPr>
          <w:p w14:paraId="3F3C3406" w14:textId="49E8C9AB" w:rsidR="00A940C7" w:rsidRPr="009660DC" w:rsidRDefault="00A940C7" w:rsidP="00586401">
            <w:pPr>
              <w:rPr>
                <w:rFonts w:cstheme="minorHAnsi"/>
                <w:sz w:val="18"/>
                <w:szCs w:val="18"/>
              </w:rPr>
            </w:pPr>
            <w:r w:rsidRPr="009660DC">
              <w:rPr>
                <w:rFonts w:cstheme="minorHAnsi"/>
                <w:sz w:val="18"/>
                <w:szCs w:val="18"/>
              </w:rPr>
              <w:t>N/A</w:t>
            </w:r>
          </w:p>
        </w:tc>
        <w:tc>
          <w:tcPr>
            <w:tcW w:w="3153" w:type="dxa"/>
            <w:vMerge/>
          </w:tcPr>
          <w:p w14:paraId="03A49573" w14:textId="77777777" w:rsidR="00A940C7" w:rsidRPr="009660DC" w:rsidRDefault="00A940C7" w:rsidP="00586401">
            <w:pPr>
              <w:rPr>
                <w:rFonts w:cstheme="minorHAnsi"/>
                <w:sz w:val="18"/>
                <w:szCs w:val="18"/>
              </w:rPr>
            </w:pPr>
          </w:p>
        </w:tc>
      </w:tr>
      <w:tr w:rsidR="00144F39" w:rsidRPr="009660DC" w14:paraId="1CB0FB5D" w14:textId="77777777" w:rsidTr="00144F39">
        <w:tc>
          <w:tcPr>
            <w:tcW w:w="2171" w:type="dxa"/>
          </w:tcPr>
          <w:p w14:paraId="26AA625B" w14:textId="77777777" w:rsidR="00A940C7" w:rsidRPr="009660DC" w:rsidRDefault="00A940C7" w:rsidP="00586401">
            <w:pPr>
              <w:rPr>
                <w:rFonts w:cstheme="minorHAnsi"/>
                <w:sz w:val="18"/>
                <w:szCs w:val="18"/>
              </w:rPr>
            </w:pPr>
          </w:p>
        </w:tc>
        <w:tc>
          <w:tcPr>
            <w:tcW w:w="2124" w:type="dxa"/>
          </w:tcPr>
          <w:p w14:paraId="718BFB8C" w14:textId="6D5B3A25" w:rsidR="00A940C7" w:rsidRPr="009660DC" w:rsidRDefault="00A940C7" w:rsidP="00586401">
            <w:pPr>
              <w:rPr>
                <w:rFonts w:cstheme="minorHAnsi"/>
                <w:sz w:val="18"/>
                <w:szCs w:val="18"/>
              </w:rPr>
            </w:pPr>
            <w:r w:rsidRPr="009660DC">
              <w:rPr>
                <w:rFonts w:cstheme="minorHAnsi"/>
                <w:sz w:val="18"/>
                <w:szCs w:val="18"/>
              </w:rPr>
              <w:t xml:space="preserve">6. </w:t>
            </w:r>
            <w:r w:rsidRPr="009660DC">
              <w:rPr>
                <w:rFonts w:cstheme="minorHAnsi"/>
                <w:bCs/>
                <w:noProof/>
              </w:rPr>
              <w:t>Energy consumption intensity per high impact climate sector</w:t>
            </w:r>
          </w:p>
        </w:tc>
        <w:tc>
          <w:tcPr>
            <w:tcW w:w="2172" w:type="dxa"/>
          </w:tcPr>
          <w:p w14:paraId="223E166F" w14:textId="2F9F94EE" w:rsidR="00A940C7" w:rsidRPr="009660DC" w:rsidRDefault="00A940C7" w:rsidP="00586401">
            <w:pPr>
              <w:rPr>
                <w:rFonts w:cstheme="minorHAnsi"/>
                <w:sz w:val="18"/>
                <w:szCs w:val="18"/>
              </w:rPr>
            </w:pPr>
            <w:r w:rsidRPr="009660DC">
              <w:rPr>
                <w:rFonts w:cstheme="minorHAnsi"/>
                <w:noProof/>
              </w:rPr>
              <w:t>Energy consumption in GWh per million EUR of revenue of investee companies, per high impact climate sector</w:t>
            </w:r>
          </w:p>
        </w:tc>
        <w:tc>
          <w:tcPr>
            <w:tcW w:w="1735" w:type="dxa"/>
          </w:tcPr>
          <w:p w14:paraId="1F3246EF" w14:textId="49A3DC7A" w:rsidR="00A940C7" w:rsidRPr="009660DC" w:rsidRDefault="00A940C7" w:rsidP="00586401">
            <w:pPr>
              <w:rPr>
                <w:rFonts w:cstheme="minorHAnsi"/>
                <w:sz w:val="18"/>
                <w:szCs w:val="18"/>
              </w:rPr>
            </w:pPr>
          </w:p>
        </w:tc>
        <w:tc>
          <w:tcPr>
            <w:tcW w:w="1721" w:type="dxa"/>
          </w:tcPr>
          <w:p w14:paraId="42EF5B71" w14:textId="7DE6BB08" w:rsidR="00A940C7" w:rsidRPr="009660DC" w:rsidRDefault="00A940C7" w:rsidP="00586401">
            <w:pPr>
              <w:rPr>
                <w:rFonts w:cstheme="minorHAnsi"/>
                <w:sz w:val="18"/>
                <w:szCs w:val="18"/>
              </w:rPr>
            </w:pPr>
            <w:r w:rsidRPr="009660DC">
              <w:rPr>
                <w:rFonts w:cstheme="minorHAnsi"/>
                <w:sz w:val="18"/>
                <w:szCs w:val="18"/>
              </w:rPr>
              <w:t>No data</w:t>
            </w:r>
          </w:p>
        </w:tc>
        <w:tc>
          <w:tcPr>
            <w:tcW w:w="1485" w:type="dxa"/>
          </w:tcPr>
          <w:p w14:paraId="7393E3F3" w14:textId="0C1A4993" w:rsidR="00A940C7" w:rsidRPr="009660DC" w:rsidRDefault="00A940C7" w:rsidP="00586401">
            <w:pPr>
              <w:rPr>
                <w:rFonts w:cstheme="minorHAnsi"/>
                <w:sz w:val="18"/>
                <w:szCs w:val="18"/>
              </w:rPr>
            </w:pPr>
            <w:r w:rsidRPr="009660DC">
              <w:rPr>
                <w:rFonts w:cstheme="minorHAnsi"/>
                <w:sz w:val="18"/>
                <w:szCs w:val="18"/>
              </w:rPr>
              <w:t>N/A</w:t>
            </w:r>
          </w:p>
        </w:tc>
        <w:tc>
          <w:tcPr>
            <w:tcW w:w="3153" w:type="dxa"/>
            <w:vMerge/>
          </w:tcPr>
          <w:p w14:paraId="0B9CE2AF" w14:textId="77777777" w:rsidR="00A940C7" w:rsidRPr="009660DC" w:rsidRDefault="00A940C7" w:rsidP="00586401">
            <w:pPr>
              <w:rPr>
                <w:rFonts w:cstheme="minorHAnsi"/>
                <w:sz w:val="18"/>
                <w:szCs w:val="18"/>
              </w:rPr>
            </w:pPr>
          </w:p>
        </w:tc>
      </w:tr>
      <w:tr w:rsidR="00144F39" w:rsidRPr="009660DC" w14:paraId="11E720FC" w14:textId="77777777" w:rsidTr="00144F39">
        <w:tc>
          <w:tcPr>
            <w:tcW w:w="2171" w:type="dxa"/>
          </w:tcPr>
          <w:p w14:paraId="330F3993" w14:textId="77777777" w:rsidR="00A940C7" w:rsidRPr="009660DC" w:rsidRDefault="00A940C7" w:rsidP="0013353A">
            <w:pPr>
              <w:rPr>
                <w:rFonts w:cstheme="minorHAnsi"/>
                <w:sz w:val="18"/>
                <w:szCs w:val="18"/>
              </w:rPr>
            </w:pPr>
          </w:p>
        </w:tc>
        <w:tc>
          <w:tcPr>
            <w:tcW w:w="2124" w:type="dxa"/>
          </w:tcPr>
          <w:p w14:paraId="6A208FCC" w14:textId="77777777" w:rsidR="00A940C7" w:rsidRPr="009660DC" w:rsidRDefault="00A940C7" w:rsidP="0013353A">
            <w:pPr>
              <w:rPr>
                <w:rFonts w:cstheme="minorHAnsi"/>
                <w:sz w:val="18"/>
                <w:szCs w:val="18"/>
              </w:rPr>
            </w:pPr>
          </w:p>
        </w:tc>
        <w:tc>
          <w:tcPr>
            <w:tcW w:w="2172" w:type="dxa"/>
          </w:tcPr>
          <w:p w14:paraId="7E396550" w14:textId="607E8A02" w:rsidR="00A940C7" w:rsidRPr="009660DC" w:rsidRDefault="00A940C7" w:rsidP="0013353A">
            <w:pPr>
              <w:rPr>
                <w:rFonts w:cstheme="minorHAnsi"/>
                <w:sz w:val="18"/>
                <w:szCs w:val="18"/>
              </w:rPr>
            </w:pPr>
            <w:r w:rsidRPr="009660DC">
              <w:rPr>
                <w:rFonts w:cstheme="minorHAnsi"/>
                <w:sz w:val="18"/>
                <w:szCs w:val="18"/>
              </w:rPr>
              <w:t>Sector A</w:t>
            </w:r>
          </w:p>
        </w:tc>
        <w:tc>
          <w:tcPr>
            <w:tcW w:w="1735" w:type="dxa"/>
          </w:tcPr>
          <w:p w14:paraId="7AF0B6F4" w14:textId="3A5DCBD6" w:rsidR="00A940C7" w:rsidRPr="009660DC" w:rsidRDefault="00A940C7" w:rsidP="0013353A">
            <w:pPr>
              <w:rPr>
                <w:rFonts w:cstheme="minorHAnsi"/>
                <w:sz w:val="18"/>
                <w:szCs w:val="18"/>
              </w:rPr>
            </w:pPr>
            <w:r w:rsidRPr="009660DC">
              <w:rPr>
                <w:rFonts w:cstheme="minorHAnsi"/>
                <w:sz w:val="18"/>
                <w:szCs w:val="18"/>
              </w:rPr>
              <w:t>0,00</w:t>
            </w:r>
          </w:p>
        </w:tc>
        <w:tc>
          <w:tcPr>
            <w:tcW w:w="1721" w:type="dxa"/>
          </w:tcPr>
          <w:p w14:paraId="7FA7A972" w14:textId="403492D1" w:rsidR="00A940C7" w:rsidRPr="009660DC" w:rsidRDefault="00A940C7" w:rsidP="0013353A">
            <w:pPr>
              <w:rPr>
                <w:rFonts w:cstheme="minorHAnsi"/>
                <w:sz w:val="18"/>
                <w:szCs w:val="18"/>
              </w:rPr>
            </w:pPr>
            <w:r w:rsidRPr="009660DC">
              <w:rPr>
                <w:rFonts w:cstheme="minorHAnsi"/>
                <w:sz w:val="18"/>
                <w:szCs w:val="18"/>
              </w:rPr>
              <w:t>No data</w:t>
            </w:r>
          </w:p>
        </w:tc>
        <w:tc>
          <w:tcPr>
            <w:tcW w:w="1485" w:type="dxa"/>
          </w:tcPr>
          <w:p w14:paraId="5E1C6F87" w14:textId="6CF8965F" w:rsidR="00A940C7" w:rsidRPr="009660DC" w:rsidRDefault="00A940C7" w:rsidP="0013353A">
            <w:pPr>
              <w:jc w:val="both"/>
              <w:rPr>
                <w:rFonts w:cstheme="minorHAnsi"/>
                <w:sz w:val="18"/>
                <w:szCs w:val="18"/>
              </w:rPr>
            </w:pPr>
            <w:r w:rsidRPr="009660DC">
              <w:rPr>
                <w:rFonts w:cstheme="minorHAnsi"/>
                <w:sz w:val="18"/>
                <w:szCs w:val="18"/>
              </w:rPr>
              <w:t>N/A</w:t>
            </w:r>
          </w:p>
        </w:tc>
        <w:tc>
          <w:tcPr>
            <w:tcW w:w="3153" w:type="dxa"/>
            <w:vMerge/>
          </w:tcPr>
          <w:p w14:paraId="03EF644A" w14:textId="77777777" w:rsidR="00A940C7" w:rsidRPr="009660DC" w:rsidRDefault="00A940C7" w:rsidP="0013353A">
            <w:pPr>
              <w:rPr>
                <w:rFonts w:cstheme="minorHAnsi"/>
                <w:sz w:val="18"/>
                <w:szCs w:val="18"/>
              </w:rPr>
            </w:pPr>
          </w:p>
        </w:tc>
      </w:tr>
      <w:tr w:rsidR="00144F39" w:rsidRPr="009660DC" w14:paraId="1BC31409" w14:textId="77777777" w:rsidTr="00144F39">
        <w:tc>
          <w:tcPr>
            <w:tcW w:w="2171" w:type="dxa"/>
          </w:tcPr>
          <w:p w14:paraId="57830237" w14:textId="77777777" w:rsidR="00A940C7" w:rsidRPr="009660DC" w:rsidRDefault="00A940C7" w:rsidP="0013353A">
            <w:pPr>
              <w:rPr>
                <w:rFonts w:cstheme="minorHAnsi"/>
                <w:sz w:val="18"/>
                <w:szCs w:val="18"/>
              </w:rPr>
            </w:pPr>
          </w:p>
        </w:tc>
        <w:tc>
          <w:tcPr>
            <w:tcW w:w="2124" w:type="dxa"/>
          </w:tcPr>
          <w:p w14:paraId="57F8E2D4" w14:textId="77777777" w:rsidR="00A940C7" w:rsidRPr="009660DC" w:rsidRDefault="00A940C7" w:rsidP="0013353A">
            <w:pPr>
              <w:rPr>
                <w:rFonts w:cstheme="minorHAnsi"/>
                <w:sz w:val="18"/>
                <w:szCs w:val="18"/>
              </w:rPr>
            </w:pPr>
          </w:p>
        </w:tc>
        <w:tc>
          <w:tcPr>
            <w:tcW w:w="2172" w:type="dxa"/>
          </w:tcPr>
          <w:p w14:paraId="0222B99C" w14:textId="78F145BB" w:rsidR="00A940C7" w:rsidRPr="009660DC" w:rsidRDefault="00A940C7" w:rsidP="0013353A">
            <w:pPr>
              <w:rPr>
                <w:rFonts w:cstheme="minorHAnsi"/>
                <w:sz w:val="18"/>
                <w:szCs w:val="18"/>
              </w:rPr>
            </w:pPr>
            <w:r w:rsidRPr="009660DC">
              <w:rPr>
                <w:rFonts w:cstheme="minorHAnsi"/>
                <w:sz w:val="18"/>
                <w:szCs w:val="18"/>
              </w:rPr>
              <w:t>Sector B</w:t>
            </w:r>
          </w:p>
        </w:tc>
        <w:tc>
          <w:tcPr>
            <w:tcW w:w="1735" w:type="dxa"/>
          </w:tcPr>
          <w:p w14:paraId="093739F1" w14:textId="310F99A9" w:rsidR="00A940C7" w:rsidRPr="009660DC" w:rsidRDefault="00A940C7" w:rsidP="0013353A">
            <w:pPr>
              <w:rPr>
                <w:rFonts w:cstheme="minorHAnsi"/>
                <w:sz w:val="18"/>
                <w:szCs w:val="18"/>
              </w:rPr>
            </w:pPr>
            <w:r w:rsidRPr="009660DC">
              <w:rPr>
                <w:rFonts w:cstheme="minorHAnsi"/>
                <w:sz w:val="18"/>
                <w:szCs w:val="18"/>
              </w:rPr>
              <w:t>0,00</w:t>
            </w:r>
          </w:p>
        </w:tc>
        <w:tc>
          <w:tcPr>
            <w:tcW w:w="1721" w:type="dxa"/>
          </w:tcPr>
          <w:p w14:paraId="26B682BC" w14:textId="2DA02949" w:rsidR="00A940C7" w:rsidRPr="009660DC" w:rsidRDefault="00A940C7" w:rsidP="0013353A">
            <w:pPr>
              <w:rPr>
                <w:rFonts w:cstheme="minorHAnsi"/>
                <w:sz w:val="18"/>
                <w:szCs w:val="18"/>
              </w:rPr>
            </w:pPr>
            <w:r w:rsidRPr="009660DC">
              <w:rPr>
                <w:rFonts w:cstheme="minorHAnsi"/>
                <w:sz w:val="18"/>
                <w:szCs w:val="18"/>
              </w:rPr>
              <w:t>No data</w:t>
            </w:r>
          </w:p>
        </w:tc>
        <w:tc>
          <w:tcPr>
            <w:tcW w:w="1485" w:type="dxa"/>
          </w:tcPr>
          <w:p w14:paraId="42C228E6" w14:textId="17ADB433" w:rsidR="00A940C7" w:rsidRPr="009660DC" w:rsidRDefault="00A940C7" w:rsidP="0013353A">
            <w:pPr>
              <w:jc w:val="both"/>
              <w:rPr>
                <w:rFonts w:cstheme="minorHAnsi"/>
                <w:sz w:val="18"/>
                <w:szCs w:val="18"/>
              </w:rPr>
            </w:pPr>
            <w:r w:rsidRPr="009660DC">
              <w:rPr>
                <w:rFonts w:cstheme="minorHAnsi"/>
                <w:sz w:val="18"/>
                <w:szCs w:val="18"/>
              </w:rPr>
              <w:t>N/A</w:t>
            </w:r>
          </w:p>
        </w:tc>
        <w:tc>
          <w:tcPr>
            <w:tcW w:w="3153" w:type="dxa"/>
            <w:vMerge/>
          </w:tcPr>
          <w:p w14:paraId="2DA7DC81" w14:textId="77777777" w:rsidR="00A940C7" w:rsidRPr="009660DC" w:rsidRDefault="00A940C7" w:rsidP="0013353A">
            <w:pPr>
              <w:rPr>
                <w:rFonts w:cstheme="minorHAnsi"/>
                <w:sz w:val="18"/>
                <w:szCs w:val="18"/>
              </w:rPr>
            </w:pPr>
          </w:p>
        </w:tc>
      </w:tr>
      <w:tr w:rsidR="00144F39" w:rsidRPr="009660DC" w14:paraId="36B768E9" w14:textId="77777777" w:rsidTr="00144F39">
        <w:tc>
          <w:tcPr>
            <w:tcW w:w="2171" w:type="dxa"/>
          </w:tcPr>
          <w:p w14:paraId="724E478E" w14:textId="77777777" w:rsidR="00A940C7" w:rsidRPr="009660DC" w:rsidRDefault="00A940C7" w:rsidP="0013353A">
            <w:pPr>
              <w:rPr>
                <w:rFonts w:cstheme="minorHAnsi"/>
                <w:sz w:val="18"/>
                <w:szCs w:val="18"/>
              </w:rPr>
            </w:pPr>
          </w:p>
        </w:tc>
        <w:tc>
          <w:tcPr>
            <w:tcW w:w="2124" w:type="dxa"/>
          </w:tcPr>
          <w:p w14:paraId="401C0740" w14:textId="77777777" w:rsidR="00A940C7" w:rsidRPr="009660DC" w:rsidRDefault="00A940C7" w:rsidP="0013353A">
            <w:pPr>
              <w:rPr>
                <w:rFonts w:cstheme="minorHAnsi"/>
                <w:sz w:val="18"/>
                <w:szCs w:val="18"/>
              </w:rPr>
            </w:pPr>
          </w:p>
        </w:tc>
        <w:tc>
          <w:tcPr>
            <w:tcW w:w="2172" w:type="dxa"/>
          </w:tcPr>
          <w:p w14:paraId="0E4EF50D" w14:textId="032C42BF" w:rsidR="00A940C7" w:rsidRPr="009660DC" w:rsidRDefault="00A940C7" w:rsidP="0013353A">
            <w:pPr>
              <w:rPr>
                <w:rFonts w:cstheme="minorHAnsi"/>
                <w:sz w:val="18"/>
                <w:szCs w:val="18"/>
              </w:rPr>
            </w:pPr>
            <w:r w:rsidRPr="009660DC">
              <w:rPr>
                <w:rFonts w:cstheme="minorHAnsi"/>
                <w:sz w:val="18"/>
                <w:szCs w:val="18"/>
              </w:rPr>
              <w:t>Sector C</w:t>
            </w:r>
          </w:p>
        </w:tc>
        <w:tc>
          <w:tcPr>
            <w:tcW w:w="1735" w:type="dxa"/>
          </w:tcPr>
          <w:p w14:paraId="061B9C30" w14:textId="13828BE1" w:rsidR="00A940C7" w:rsidRPr="009660DC" w:rsidRDefault="00A940C7" w:rsidP="0013353A">
            <w:pPr>
              <w:rPr>
                <w:rFonts w:cstheme="minorHAnsi"/>
                <w:sz w:val="18"/>
                <w:szCs w:val="18"/>
              </w:rPr>
            </w:pPr>
            <w:r w:rsidRPr="009660DC">
              <w:rPr>
                <w:rFonts w:cstheme="minorHAnsi"/>
                <w:sz w:val="18"/>
                <w:szCs w:val="18"/>
              </w:rPr>
              <w:t>0,13</w:t>
            </w:r>
          </w:p>
        </w:tc>
        <w:tc>
          <w:tcPr>
            <w:tcW w:w="1721" w:type="dxa"/>
          </w:tcPr>
          <w:p w14:paraId="6C439435" w14:textId="1F7BB3BB" w:rsidR="00A940C7" w:rsidRPr="009660DC" w:rsidRDefault="00A940C7" w:rsidP="0013353A">
            <w:pPr>
              <w:rPr>
                <w:rFonts w:cstheme="minorHAnsi"/>
                <w:sz w:val="18"/>
                <w:szCs w:val="18"/>
              </w:rPr>
            </w:pPr>
            <w:r w:rsidRPr="009660DC">
              <w:rPr>
                <w:rFonts w:cstheme="minorHAnsi"/>
                <w:sz w:val="18"/>
                <w:szCs w:val="18"/>
              </w:rPr>
              <w:t>No data</w:t>
            </w:r>
          </w:p>
        </w:tc>
        <w:tc>
          <w:tcPr>
            <w:tcW w:w="1485" w:type="dxa"/>
          </w:tcPr>
          <w:p w14:paraId="7799ACFC" w14:textId="7DE6BB66" w:rsidR="00A940C7" w:rsidRPr="009660DC" w:rsidRDefault="00A940C7" w:rsidP="0013353A">
            <w:pPr>
              <w:jc w:val="both"/>
              <w:rPr>
                <w:rFonts w:cstheme="minorHAnsi"/>
                <w:sz w:val="18"/>
                <w:szCs w:val="18"/>
              </w:rPr>
            </w:pPr>
            <w:r w:rsidRPr="009660DC">
              <w:rPr>
                <w:rFonts w:cstheme="minorHAnsi"/>
                <w:sz w:val="18"/>
                <w:szCs w:val="18"/>
              </w:rPr>
              <w:t>N/A</w:t>
            </w:r>
          </w:p>
        </w:tc>
        <w:tc>
          <w:tcPr>
            <w:tcW w:w="3153" w:type="dxa"/>
            <w:vMerge/>
          </w:tcPr>
          <w:p w14:paraId="5D8E49F0" w14:textId="77777777" w:rsidR="00A940C7" w:rsidRPr="009660DC" w:rsidRDefault="00A940C7" w:rsidP="0013353A">
            <w:pPr>
              <w:rPr>
                <w:rFonts w:cstheme="minorHAnsi"/>
                <w:sz w:val="18"/>
                <w:szCs w:val="18"/>
              </w:rPr>
            </w:pPr>
          </w:p>
        </w:tc>
      </w:tr>
      <w:tr w:rsidR="00144F39" w:rsidRPr="009660DC" w14:paraId="113A3CF9" w14:textId="77777777" w:rsidTr="00144F39">
        <w:tc>
          <w:tcPr>
            <w:tcW w:w="2171" w:type="dxa"/>
          </w:tcPr>
          <w:p w14:paraId="6A5B3581" w14:textId="77777777" w:rsidR="00A940C7" w:rsidRPr="009660DC" w:rsidRDefault="00A940C7" w:rsidP="0013353A">
            <w:pPr>
              <w:rPr>
                <w:rFonts w:cstheme="minorHAnsi"/>
                <w:sz w:val="18"/>
                <w:szCs w:val="18"/>
              </w:rPr>
            </w:pPr>
          </w:p>
        </w:tc>
        <w:tc>
          <w:tcPr>
            <w:tcW w:w="2124" w:type="dxa"/>
          </w:tcPr>
          <w:p w14:paraId="482094A4" w14:textId="77777777" w:rsidR="00A940C7" w:rsidRPr="009660DC" w:rsidRDefault="00A940C7" w:rsidP="0013353A">
            <w:pPr>
              <w:rPr>
                <w:rFonts w:cstheme="minorHAnsi"/>
                <w:sz w:val="18"/>
                <w:szCs w:val="18"/>
              </w:rPr>
            </w:pPr>
          </w:p>
        </w:tc>
        <w:tc>
          <w:tcPr>
            <w:tcW w:w="2172" w:type="dxa"/>
          </w:tcPr>
          <w:p w14:paraId="24F33E4F" w14:textId="044F574D" w:rsidR="00A940C7" w:rsidRPr="009660DC" w:rsidRDefault="00A940C7" w:rsidP="0013353A">
            <w:pPr>
              <w:rPr>
                <w:rFonts w:cstheme="minorHAnsi"/>
                <w:sz w:val="18"/>
                <w:szCs w:val="18"/>
              </w:rPr>
            </w:pPr>
            <w:r w:rsidRPr="009660DC">
              <w:rPr>
                <w:rFonts w:cstheme="minorHAnsi"/>
                <w:sz w:val="18"/>
                <w:szCs w:val="18"/>
              </w:rPr>
              <w:t>Sector D</w:t>
            </w:r>
          </w:p>
        </w:tc>
        <w:tc>
          <w:tcPr>
            <w:tcW w:w="1735" w:type="dxa"/>
          </w:tcPr>
          <w:p w14:paraId="22AA114D" w14:textId="3E471A65" w:rsidR="00A940C7" w:rsidRPr="009660DC" w:rsidRDefault="00A940C7" w:rsidP="0013353A">
            <w:pPr>
              <w:rPr>
                <w:rFonts w:cstheme="minorHAnsi"/>
                <w:sz w:val="18"/>
                <w:szCs w:val="18"/>
              </w:rPr>
            </w:pPr>
            <w:r w:rsidRPr="009660DC">
              <w:rPr>
                <w:rFonts w:cstheme="minorHAnsi"/>
                <w:sz w:val="18"/>
                <w:szCs w:val="18"/>
              </w:rPr>
              <w:t>1,06</w:t>
            </w:r>
          </w:p>
        </w:tc>
        <w:tc>
          <w:tcPr>
            <w:tcW w:w="1721" w:type="dxa"/>
          </w:tcPr>
          <w:p w14:paraId="71667E14" w14:textId="1E143D44" w:rsidR="00A940C7" w:rsidRPr="009660DC" w:rsidRDefault="00A940C7" w:rsidP="0013353A">
            <w:pPr>
              <w:rPr>
                <w:rFonts w:cstheme="minorHAnsi"/>
                <w:sz w:val="18"/>
                <w:szCs w:val="18"/>
              </w:rPr>
            </w:pPr>
            <w:r w:rsidRPr="009660DC">
              <w:rPr>
                <w:rFonts w:cstheme="minorHAnsi"/>
                <w:sz w:val="18"/>
                <w:szCs w:val="18"/>
              </w:rPr>
              <w:t>No data</w:t>
            </w:r>
          </w:p>
        </w:tc>
        <w:tc>
          <w:tcPr>
            <w:tcW w:w="1485" w:type="dxa"/>
          </w:tcPr>
          <w:p w14:paraId="03FFAD92" w14:textId="17B04513" w:rsidR="00A940C7" w:rsidRPr="009660DC" w:rsidRDefault="00A940C7" w:rsidP="0013353A">
            <w:pPr>
              <w:jc w:val="both"/>
              <w:rPr>
                <w:rFonts w:cstheme="minorHAnsi"/>
                <w:sz w:val="18"/>
                <w:szCs w:val="18"/>
              </w:rPr>
            </w:pPr>
            <w:r w:rsidRPr="009660DC">
              <w:rPr>
                <w:rFonts w:cstheme="minorHAnsi"/>
                <w:sz w:val="18"/>
                <w:szCs w:val="18"/>
              </w:rPr>
              <w:t>N/A</w:t>
            </w:r>
          </w:p>
        </w:tc>
        <w:tc>
          <w:tcPr>
            <w:tcW w:w="3153" w:type="dxa"/>
            <w:vMerge/>
          </w:tcPr>
          <w:p w14:paraId="02B26786" w14:textId="77777777" w:rsidR="00A940C7" w:rsidRPr="009660DC" w:rsidRDefault="00A940C7" w:rsidP="0013353A">
            <w:pPr>
              <w:rPr>
                <w:rFonts w:cstheme="minorHAnsi"/>
                <w:sz w:val="18"/>
                <w:szCs w:val="18"/>
              </w:rPr>
            </w:pPr>
          </w:p>
        </w:tc>
      </w:tr>
      <w:tr w:rsidR="00144F39" w:rsidRPr="009660DC" w14:paraId="646828DE" w14:textId="77777777" w:rsidTr="00144F39">
        <w:tc>
          <w:tcPr>
            <w:tcW w:w="2171" w:type="dxa"/>
          </w:tcPr>
          <w:p w14:paraId="5F37701B" w14:textId="77777777" w:rsidR="00A940C7" w:rsidRPr="009660DC" w:rsidRDefault="00A940C7" w:rsidP="0013353A">
            <w:pPr>
              <w:rPr>
                <w:rFonts w:cstheme="minorHAnsi"/>
                <w:sz w:val="18"/>
                <w:szCs w:val="18"/>
              </w:rPr>
            </w:pPr>
          </w:p>
        </w:tc>
        <w:tc>
          <w:tcPr>
            <w:tcW w:w="2124" w:type="dxa"/>
          </w:tcPr>
          <w:p w14:paraId="6CD4A588" w14:textId="77777777" w:rsidR="00A940C7" w:rsidRPr="009660DC" w:rsidRDefault="00A940C7" w:rsidP="0013353A">
            <w:pPr>
              <w:rPr>
                <w:rFonts w:cstheme="minorHAnsi"/>
                <w:sz w:val="18"/>
                <w:szCs w:val="18"/>
              </w:rPr>
            </w:pPr>
          </w:p>
        </w:tc>
        <w:tc>
          <w:tcPr>
            <w:tcW w:w="2172" w:type="dxa"/>
          </w:tcPr>
          <w:p w14:paraId="34DF378F" w14:textId="7273DD40" w:rsidR="00A940C7" w:rsidRPr="009660DC" w:rsidRDefault="00A940C7" w:rsidP="0013353A">
            <w:pPr>
              <w:rPr>
                <w:rFonts w:cstheme="minorHAnsi"/>
                <w:sz w:val="18"/>
                <w:szCs w:val="18"/>
              </w:rPr>
            </w:pPr>
            <w:r w:rsidRPr="009660DC">
              <w:rPr>
                <w:rFonts w:cstheme="minorHAnsi"/>
                <w:sz w:val="18"/>
                <w:szCs w:val="18"/>
              </w:rPr>
              <w:t>Sector E</w:t>
            </w:r>
          </w:p>
        </w:tc>
        <w:tc>
          <w:tcPr>
            <w:tcW w:w="1735" w:type="dxa"/>
          </w:tcPr>
          <w:p w14:paraId="72634B2D" w14:textId="6AE865E9" w:rsidR="00A940C7" w:rsidRPr="009660DC" w:rsidRDefault="00A940C7" w:rsidP="0013353A">
            <w:pPr>
              <w:rPr>
                <w:rFonts w:cstheme="minorHAnsi"/>
                <w:sz w:val="18"/>
                <w:szCs w:val="18"/>
              </w:rPr>
            </w:pPr>
            <w:r w:rsidRPr="009660DC">
              <w:rPr>
                <w:rFonts w:cstheme="minorHAnsi"/>
                <w:sz w:val="18"/>
                <w:szCs w:val="18"/>
              </w:rPr>
              <w:t>0,00</w:t>
            </w:r>
          </w:p>
        </w:tc>
        <w:tc>
          <w:tcPr>
            <w:tcW w:w="1721" w:type="dxa"/>
          </w:tcPr>
          <w:p w14:paraId="66480291" w14:textId="6B881F9A" w:rsidR="00A940C7" w:rsidRPr="009660DC" w:rsidRDefault="00A940C7" w:rsidP="0013353A">
            <w:pPr>
              <w:rPr>
                <w:rFonts w:cstheme="minorHAnsi"/>
                <w:sz w:val="18"/>
                <w:szCs w:val="18"/>
              </w:rPr>
            </w:pPr>
            <w:r w:rsidRPr="009660DC">
              <w:rPr>
                <w:rFonts w:cstheme="minorHAnsi"/>
                <w:sz w:val="18"/>
                <w:szCs w:val="18"/>
              </w:rPr>
              <w:t>No data</w:t>
            </w:r>
          </w:p>
        </w:tc>
        <w:tc>
          <w:tcPr>
            <w:tcW w:w="1485" w:type="dxa"/>
          </w:tcPr>
          <w:p w14:paraId="73977360" w14:textId="605697AF" w:rsidR="00A940C7" w:rsidRPr="009660DC" w:rsidRDefault="00A940C7" w:rsidP="0013353A">
            <w:pPr>
              <w:jc w:val="both"/>
              <w:rPr>
                <w:rFonts w:cstheme="minorHAnsi"/>
                <w:sz w:val="18"/>
                <w:szCs w:val="18"/>
              </w:rPr>
            </w:pPr>
            <w:r w:rsidRPr="009660DC">
              <w:rPr>
                <w:rFonts w:cstheme="minorHAnsi"/>
                <w:sz w:val="18"/>
                <w:szCs w:val="18"/>
              </w:rPr>
              <w:t>N/A</w:t>
            </w:r>
          </w:p>
        </w:tc>
        <w:tc>
          <w:tcPr>
            <w:tcW w:w="3153" w:type="dxa"/>
            <w:vMerge/>
          </w:tcPr>
          <w:p w14:paraId="14323000" w14:textId="77777777" w:rsidR="00A940C7" w:rsidRPr="009660DC" w:rsidRDefault="00A940C7" w:rsidP="0013353A">
            <w:pPr>
              <w:rPr>
                <w:rFonts w:cstheme="minorHAnsi"/>
                <w:sz w:val="18"/>
                <w:szCs w:val="18"/>
              </w:rPr>
            </w:pPr>
          </w:p>
        </w:tc>
      </w:tr>
      <w:tr w:rsidR="00144F39" w:rsidRPr="009660DC" w14:paraId="76619D8D" w14:textId="77777777" w:rsidTr="00144F39">
        <w:tc>
          <w:tcPr>
            <w:tcW w:w="2171" w:type="dxa"/>
          </w:tcPr>
          <w:p w14:paraId="5F8F9BAB" w14:textId="77777777" w:rsidR="00A940C7" w:rsidRPr="009660DC" w:rsidRDefault="00A940C7" w:rsidP="0013353A">
            <w:pPr>
              <w:rPr>
                <w:rFonts w:cstheme="minorHAnsi"/>
                <w:sz w:val="18"/>
                <w:szCs w:val="18"/>
              </w:rPr>
            </w:pPr>
          </w:p>
        </w:tc>
        <w:tc>
          <w:tcPr>
            <w:tcW w:w="2124" w:type="dxa"/>
          </w:tcPr>
          <w:p w14:paraId="2353D361" w14:textId="77777777" w:rsidR="00A940C7" w:rsidRPr="009660DC" w:rsidRDefault="00A940C7" w:rsidP="0013353A">
            <w:pPr>
              <w:rPr>
                <w:rFonts w:cstheme="minorHAnsi"/>
                <w:sz w:val="18"/>
                <w:szCs w:val="18"/>
              </w:rPr>
            </w:pPr>
          </w:p>
        </w:tc>
        <w:tc>
          <w:tcPr>
            <w:tcW w:w="2172" w:type="dxa"/>
          </w:tcPr>
          <w:p w14:paraId="61E0E510" w14:textId="0E0B3DF0" w:rsidR="00A940C7" w:rsidRPr="009660DC" w:rsidRDefault="00A940C7" w:rsidP="0013353A">
            <w:pPr>
              <w:rPr>
                <w:rFonts w:cstheme="minorHAnsi"/>
                <w:sz w:val="18"/>
                <w:szCs w:val="18"/>
              </w:rPr>
            </w:pPr>
            <w:r w:rsidRPr="009660DC">
              <w:rPr>
                <w:rFonts w:cstheme="minorHAnsi"/>
                <w:sz w:val="18"/>
                <w:szCs w:val="18"/>
              </w:rPr>
              <w:t>Sector F</w:t>
            </w:r>
          </w:p>
        </w:tc>
        <w:tc>
          <w:tcPr>
            <w:tcW w:w="1735" w:type="dxa"/>
          </w:tcPr>
          <w:p w14:paraId="0BC072D4" w14:textId="15FFD953" w:rsidR="00A940C7" w:rsidRPr="009660DC" w:rsidRDefault="00A940C7" w:rsidP="0013353A">
            <w:pPr>
              <w:rPr>
                <w:rFonts w:cstheme="minorHAnsi"/>
                <w:sz w:val="18"/>
                <w:szCs w:val="18"/>
              </w:rPr>
            </w:pPr>
            <w:r w:rsidRPr="009660DC">
              <w:rPr>
                <w:rFonts w:cstheme="minorHAnsi"/>
                <w:sz w:val="18"/>
                <w:szCs w:val="18"/>
              </w:rPr>
              <w:t>0,00</w:t>
            </w:r>
          </w:p>
        </w:tc>
        <w:tc>
          <w:tcPr>
            <w:tcW w:w="1721" w:type="dxa"/>
          </w:tcPr>
          <w:p w14:paraId="7101E496" w14:textId="5F3CA64F" w:rsidR="00A940C7" w:rsidRPr="009660DC" w:rsidRDefault="00A940C7" w:rsidP="0013353A">
            <w:pPr>
              <w:rPr>
                <w:rFonts w:cstheme="minorHAnsi"/>
                <w:sz w:val="18"/>
                <w:szCs w:val="18"/>
              </w:rPr>
            </w:pPr>
            <w:r w:rsidRPr="009660DC">
              <w:rPr>
                <w:rFonts w:cstheme="minorHAnsi"/>
                <w:sz w:val="18"/>
                <w:szCs w:val="18"/>
              </w:rPr>
              <w:t>No data</w:t>
            </w:r>
          </w:p>
        </w:tc>
        <w:tc>
          <w:tcPr>
            <w:tcW w:w="1485" w:type="dxa"/>
          </w:tcPr>
          <w:p w14:paraId="70AB49D2" w14:textId="7505EDBC" w:rsidR="00A940C7" w:rsidRPr="009660DC" w:rsidRDefault="00A940C7" w:rsidP="0013353A">
            <w:pPr>
              <w:jc w:val="both"/>
              <w:rPr>
                <w:rFonts w:cstheme="minorHAnsi"/>
                <w:sz w:val="18"/>
                <w:szCs w:val="18"/>
              </w:rPr>
            </w:pPr>
            <w:r w:rsidRPr="009660DC">
              <w:rPr>
                <w:rFonts w:cstheme="minorHAnsi"/>
                <w:sz w:val="18"/>
                <w:szCs w:val="18"/>
              </w:rPr>
              <w:t>N/A</w:t>
            </w:r>
          </w:p>
        </w:tc>
        <w:tc>
          <w:tcPr>
            <w:tcW w:w="3153" w:type="dxa"/>
            <w:vMerge/>
          </w:tcPr>
          <w:p w14:paraId="763BFCE4" w14:textId="77777777" w:rsidR="00A940C7" w:rsidRPr="009660DC" w:rsidRDefault="00A940C7" w:rsidP="0013353A">
            <w:pPr>
              <w:rPr>
                <w:rFonts w:cstheme="minorHAnsi"/>
                <w:sz w:val="18"/>
                <w:szCs w:val="18"/>
              </w:rPr>
            </w:pPr>
          </w:p>
        </w:tc>
      </w:tr>
      <w:tr w:rsidR="00144F39" w:rsidRPr="009660DC" w14:paraId="722CD269" w14:textId="77777777" w:rsidTr="00144F39">
        <w:tc>
          <w:tcPr>
            <w:tcW w:w="2171" w:type="dxa"/>
          </w:tcPr>
          <w:p w14:paraId="05593D2A" w14:textId="77777777" w:rsidR="00A940C7" w:rsidRPr="009660DC" w:rsidRDefault="00A940C7" w:rsidP="0013353A">
            <w:pPr>
              <w:rPr>
                <w:rFonts w:cstheme="minorHAnsi"/>
                <w:sz w:val="18"/>
                <w:szCs w:val="18"/>
              </w:rPr>
            </w:pPr>
          </w:p>
        </w:tc>
        <w:tc>
          <w:tcPr>
            <w:tcW w:w="2124" w:type="dxa"/>
          </w:tcPr>
          <w:p w14:paraId="4B8C2735" w14:textId="77777777" w:rsidR="00A940C7" w:rsidRPr="009660DC" w:rsidRDefault="00A940C7" w:rsidP="0013353A">
            <w:pPr>
              <w:rPr>
                <w:rFonts w:cstheme="minorHAnsi"/>
                <w:sz w:val="18"/>
                <w:szCs w:val="18"/>
              </w:rPr>
            </w:pPr>
          </w:p>
        </w:tc>
        <w:tc>
          <w:tcPr>
            <w:tcW w:w="2172" w:type="dxa"/>
          </w:tcPr>
          <w:p w14:paraId="5AC909DF" w14:textId="59373CF4" w:rsidR="00A940C7" w:rsidRPr="009660DC" w:rsidRDefault="00A940C7" w:rsidP="0013353A">
            <w:pPr>
              <w:rPr>
                <w:rFonts w:cstheme="minorHAnsi"/>
                <w:sz w:val="18"/>
                <w:szCs w:val="18"/>
              </w:rPr>
            </w:pPr>
            <w:r w:rsidRPr="009660DC">
              <w:rPr>
                <w:rFonts w:cstheme="minorHAnsi"/>
                <w:sz w:val="18"/>
                <w:szCs w:val="18"/>
              </w:rPr>
              <w:t>Sector G</w:t>
            </w:r>
          </w:p>
        </w:tc>
        <w:tc>
          <w:tcPr>
            <w:tcW w:w="1735" w:type="dxa"/>
          </w:tcPr>
          <w:p w14:paraId="6D8CA63F" w14:textId="2600CA4F" w:rsidR="00A940C7" w:rsidRPr="009660DC" w:rsidRDefault="00A940C7" w:rsidP="0013353A">
            <w:pPr>
              <w:rPr>
                <w:rFonts w:cstheme="minorHAnsi"/>
                <w:sz w:val="18"/>
                <w:szCs w:val="18"/>
              </w:rPr>
            </w:pPr>
            <w:r w:rsidRPr="009660DC">
              <w:rPr>
                <w:rFonts w:cstheme="minorHAnsi"/>
                <w:sz w:val="18"/>
                <w:szCs w:val="18"/>
              </w:rPr>
              <w:t>0,00</w:t>
            </w:r>
          </w:p>
        </w:tc>
        <w:tc>
          <w:tcPr>
            <w:tcW w:w="1721" w:type="dxa"/>
          </w:tcPr>
          <w:p w14:paraId="47D2B0DA" w14:textId="07EF3D12" w:rsidR="00A940C7" w:rsidRPr="009660DC" w:rsidRDefault="00A940C7" w:rsidP="0013353A">
            <w:pPr>
              <w:rPr>
                <w:rFonts w:cstheme="minorHAnsi"/>
                <w:sz w:val="18"/>
                <w:szCs w:val="18"/>
              </w:rPr>
            </w:pPr>
            <w:r w:rsidRPr="009660DC">
              <w:rPr>
                <w:rFonts w:cstheme="minorHAnsi"/>
                <w:sz w:val="18"/>
                <w:szCs w:val="18"/>
              </w:rPr>
              <w:t>No data</w:t>
            </w:r>
          </w:p>
        </w:tc>
        <w:tc>
          <w:tcPr>
            <w:tcW w:w="1485" w:type="dxa"/>
          </w:tcPr>
          <w:p w14:paraId="78D77FAC" w14:textId="7F7E4B57" w:rsidR="00A940C7" w:rsidRPr="009660DC" w:rsidRDefault="00A940C7" w:rsidP="0013353A">
            <w:pPr>
              <w:jc w:val="both"/>
              <w:rPr>
                <w:rFonts w:cstheme="minorHAnsi"/>
                <w:sz w:val="18"/>
                <w:szCs w:val="18"/>
              </w:rPr>
            </w:pPr>
            <w:r w:rsidRPr="009660DC">
              <w:rPr>
                <w:rFonts w:cstheme="minorHAnsi"/>
                <w:sz w:val="18"/>
                <w:szCs w:val="18"/>
              </w:rPr>
              <w:t>N/A</w:t>
            </w:r>
          </w:p>
        </w:tc>
        <w:tc>
          <w:tcPr>
            <w:tcW w:w="3153" w:type="dxa"/>
            <w:vMerge/>
          </w:tcPr>
          <w:p w14:paraId="7E49D993" w14:textId="77777777" w:rsidR="00A940C7" w:rsidRPr="009660DC" w:rsidRDefault="00A940C7" w:rsidP="0013353A">
            <w:pPr>
              <w:rPr>
                <w:rFonts w:cstheme="minorHAnsi"/>
                <w:sz w:val="18"/>
                <w:szCs w:val="18"/>
              </w:rPr>
            </w:pPr>
          </w:p>
        </w:tc>
      </w:tr>
      <w:tr w:rsidR="00144F39" w:rsidRPr="009660DC" w14:paraId="4A50EFD1" w14:textId="77777777" w:rsidTr="00144F39">
        <w:tc>
          <w:tcPr>
            <w:tcW w:w="2171" w:type="dxa"/>
          </w:tcPr>
          <w:p w14:paraId="507E9758" w14:textId="77777777" w:rsidR="00A940C7" w:rsidRPr="009660DC" w:rsidRDefault="00A940C7" w:rsidP="0013353A">
            <w:pPr>
              <w:rPr>
                <w:rFonts w:cstheme="minorHAnsi"/>
                <w:sz w:val="18"/>
                <w:szCs w:val="18"/>
              </w:rPr>
            </w:pPr>
          </w:p>
        </w:tc>
        <w:tc>
          <w:tcPr>
            <w:tcW w:w="2124" w:type="dxa"/>
          </w:tcPr>
          <w:p w14:paraId="2380F405" w14:textId="77777777" w:rsidR="00A940C7" w:rsidRPr="009660DC" w:rsidRDefault="00A940C7" w:rsidP="0013353A">
            <w:pPr>
              <w:rPr>
                <w:rFonts w:cstheme="minorHAnsi"/>
                <w:sz w:val="18"/>
                <w:szCs w:val="18"/>
              </w:rPr>
            </w:pPr>
          </w:p>
        </w:tc>
        <w:tc>
          <w:tcPr>
            <w:tcW w:w="2172" w:type="dxa"/>
          </w:tcPr>
          <w:p w14:paraId="251E309F" w14:textId="41006961" w:rsidR="00A940C7" w:rsidRPr="009660DC" w:rsidRDefault="00A940C7" w:rsidP="0013353A">
            <w:pPr>
              <w:rPr>
                <w:rFonts w:cstheme="minorHAnsi"/>
                <w:sz w:val="18"/>
                <w:szCs w:val="18"/>
              </w:rPr>
            </w:pPr>
            <w:r w:rsidRPr="009660DC">
              <w:rPr>
                <w:rFonts w:cstheme="minorHAnsi"/>
                <w:sz w:val="18"/>
                <w:szCs w:val="18"/>
              </w:rPr>
              <w:t>Sector H</w:t>
            </w:r>
          </w:p>
        </w:tc>
        <w:tc>
          <w:tcPr>
            <w:tcW w:w="1735" w:type="dxa"/>
          </w:tcPr>
          <w:p w14:paraId="123BFE35" w14:textId="23B17BCA" w:rsidR="00A940C7" w:rsidRPr="009660DC" w:rsidRDefault="00A940C7" w:rsidP="0013353A">
            <w:pPr>
              <w:rPr>
                <w:rFonts w:cstheme="minorHAnsi"/>
                <w:sz w:val="18"/>
                <w:szCs w:val="18"/>
              </w:rPr>
            </w:pPr>
            <w:r w:rsidRPr="009660DC">
              <w:rPr>
                <w:rFonts w:cstheme="minorHAnsi"/>
                <w:sz w:val="18"/>
                <w:szCs w:val="18"/>
              </w:rPr>
              <w:t>0,92</w:t>
            </w:r>
          </w:p>
        </w:tc>
        <w:tc>
          <w:tcPr>
            <w:tcW w:w="1721" w:type="dxa"/>
          </w:tcPr>
          <w:p w14:paraId="229404CF" w14:textId="1786B42B" w:rsidR="00A940C7" w:rsidRPr="009660DC" w:rsidRDefault="00A940C7" w:rsidP="0013353A">
            <w:pPr>
              <w:rPr>
                <w:rFonts w:cstheme="minorHAnsi"/>
                <w:sz w:val="18"/>
                <w:szCs w:val="18"/>
              </w:rPr>
            </w:pPr>
            <w:r w:rsidRPr="009660DC">
              <w:rPr>
                <w:rFonts w:cstheme="minorHAnsi"/>
                <w:sz w:val="18"/>
                <w:szCs w:val="18"/>
              </w:rPr>
              <w:t>No data</w:t>
            </w:r>
          </w:p>
        </w:tc>
        <w:tc>
          <w:tcPr>
            <w:tcW w:w="1485" w:type="dxa"/>
          </w:tcPr>
          <w:p w14:paraId="23892C9A" w14:textId="2B1D4729" w:rsidR="00A940C7" w:rsidRPr="009660DC" w:rsidRDefault="00A940C7" w:rsidP="0013353A">
            <w:pPr>
              <w:jc w:val="both"/>
              <w:rPr>
                <w:rFonts w:cstheme="minorHAnsi"/>
                <w:sz w:val="18"/>
                <w:szCs w:val="18"/>
              </w:rPr>
            </w:pPr>
            <w:r w:rsidRPr="009660DC">
              <w:rPr>
                <w:rFonts w:cstheme="minorHAnsi"/>
                <w:sz w:val="18"/>
                <w:szCs w:val="18"/>
              </w:rPr>
              <w:t>N/A</w:t>
            </w:r>
          </w:p>
        </w:tc>
        <w:tc>
          <w:tcPr>
            <w:tcW w:w="3153" w:type="dxa"/>
            <w:vMerge/>
          </w:tcPr>
          <w:p w14:paraId="6080DAA6" w14:textId="77777777" w:rsidR="00A940C7" w:rsidRPr="009660DC" w:rsidRDefault="00A940C7" w:rsidP="0013353A">
            <w:pPr>
              <w:rPr>
                <w:rFonts w:cstheme="minorHAnsi"/>
                <w:sz w:val="18"/>
                <w:szCs w:val="18"/>
              </w:rPr>
            </w:pPr>
          </w:p>
        </w:tc>
      </w:tr>
      <w:tr w:rsidR="00144F39" w:rsidRPr="009660DC" w14:paraId="585C4EF2" w14:textId="77777777" w:rsidTr="00144F39">
        <w:tc>
          <w:tcPr>
            <w:tcW w:w="2171" w:type="dxa"/>
          </w:tcPr>
          <w:p w14:paraId="1F000D56" w14:textId="77777777" w:rsidR="00A940C7" w:rsidRPr="009660DC" w:rsidRDefault="00A940C7" w:rsidP="0013353A">
            <w:pPr>
              <w:rPr>
                <w:rFonts w:cstheme="minorHAnsi"/>
                <w:sz w:val="18"/>
                <w:szCs w:val="18"/>
              </w:rPr>
            </w:pPr>
          </w:p>
        </w:tc>
        <w:tc>
          <w:tcPr>
            <w:tcW w:w="2124" w:type="dxa"/>
          </w:tcPr>
          <w:p w14:paraId="600C4EBE" w14:textId="77777777" w:rsidR="00A940C7" w:rsidRPr="009660DC" w:rsidRDefault="00A940C7" w:rsidP="0013353A">
            <w:pPr>
              <w:rPr>
                <w:rFonts w:cstheme="minorHAnsi"/>
                <w:sz w:val="18"/>
                <w:szCs w:val="18"/>
              </w:rPr>
            </w:pPr>
          </w:p>
        </w:tc>
        <w:tc>
          <w:tcPr>
            <w:tcW w:w="2172" w:type="dxa"/>
          </w:tcPr>
          <w:p w14:paraId="5335B932" w14:textId="5E55DE22" w:rsidR="00A940C7" w:rsidRPr="009660DC" w:rsidRDefault="00A940C7" w:rsidP="0013353A">
            <w:pPr>
              <w:rPr>
                <w:rFonts w:cstheme="minorHAnsi"/>
                <w:sz w:val="18"/>
                <w:szCs w:val="18"/>
              </w:rPr>
            </w:pPr>
            <w:r w:rsidRPr="009660DC">
              <w:rPr>
                <w:rFonts w:cstheme="minorHAnsi"/>
                <w:sz w:val="18"/>
                <w:szCs w:val="18"/>
              </w:rPr>
              <w:t>Sector L</w:t>
            </w:r>
          </w:p>
        </w:tc>
        <w:tc>
          <w:tcPr>
            <w:tcW w:w="1735" w:type="dxa"/>
          </w:tcPr>
          <w:p w14:paraId="4F0E9BC3" w14:textId="1C25513E" w:rsidR="00A940C7" w:rsidRPr="009660DC" w:rsidRDefault="00A940C7" w:rsidP="0013353A">
            <w:pPr>
              <w:rPr>
                <w:rFonts w:cstheme="minorHAnsi"/>
                <w:sz w:val="18"/>
                <w:szCs w:val="18"/>
              </w:rPr>
            </w:pPr>
            <w:r w:rsidRPr="009660DC">
              <w:rPr>
                <w:rFonts w:cstheme="minorHAnsi"/>
                <w:sz w:val="18"/>
                <w:szCs w:val="18"/>
              </w:rPr>
              <w:t>0,00</w:t>
            </w:r>
          </w:p>
        </w:tc>
        <w:tc>
          <w:tcPr>
            <w:tcW w:w="1721" w:type="dxa"/>
          </w:tcPr>
          <w:p w14:paraId="7E7A778E" w14:textId="044953F3" w:rsidR="00A940C7" w:rsidRPr="009660DC" w:rsidRDefault="00A940C7" w:rsidP="0013353A">
            <w:pPr>
              <w:rPr>
                <w:rFonts w:cstheme="minorHAnsi"/>
                <w:sz w:val="18"/>
                <w:szCs w:val="18"/>
              </w:rPr>
            </w:pPr>
            <w:r w:rsidRPr="009660DC">
              <w:rPr>
                <w:rFonts w:cstheme="minorHAnsi"/>
                <w:sz w:val="18"/>
                <w:szCs w:val="18"/>
              </w:rPr>
              <w:t>No data</w:t>
            </w:r>
          </w:p>
        </w:tc>
        <w:tc>
          <w:tcPr>
            <w:tcW w:w="1485" w:type="dxa"/>
          </w:tcPr>
          <w:p w14:paraId="3B497C1F" w14:textId="1D3FC1CB" w:rsidR="00A940C7" w:rsidRPr="009660DC" w:rsidRDefault="00A940C7" w:rsidP="0013353A">
            <w:pPr>
              <w:jc w:val="both"/>
              <w:rPr>
                <w:rFonts w:cstheme="minorHAnsi"/>
                <w:sz w:val="18"/>
                <w:szCs w:val="18"/>
              </w:rPr>
            </w:pPr>
            <w:r w:rsidRPr="009660DC">
              <w:rPr>
                <w:rFonts w:cstheme="minorHAnsi"/>
                <w:sz w:val="18"/>
                <w:szCs w:val="18"/>
              </w:rPr>
              <w:t>N/A</w:t>
            </w:r>
          </w:p>
        </w:tc>
        <w:tc>
          <w:tcPr>
            <w:tcW w:w="3153" w:type="dxa"/>
            <w:vMerge/>
          </w:tcPr>
          <w:p w14:paraId="0D2B7CB8" w14:textId="77777777" w:rsidR="00A940C7" w:rsidRPr="009660DC" w:rsidRDefault="00A940C7" w:rsidP="0013353A">
            <w:pPr>
              <w:rPr>
                <w:rFonts w:cstheme="minorHAnsi"/>
                <w:sz w:val="18"/>
                <w:szCs w:val="18"/>
              </w:rPr>
            </w:pPr>
          </w:p>
        </w:tc>
      </w:tr>
    </w:tbl>
    <w:p w14:paraId="5536DA26" w14:textId="4F38D002" w:rsidR="00ED12E5" w:rsidRPr="009660DC" w:rsidRDefault="00ED12E5" w:rsidP="00C725DE">
      <w:pPr>
        <w:rPr>
          <w:rFonts w:cstheme="minorHAnsi"/>
          <w:noProof/>
          <w:sz w:val="16"/>
          <w:szCs w:val="16"/>
        </w:rPr>
      </w:pPr>
      <w:r w:rsidRPr="009660DC">
        <w:rPr>
          <w:rFonts w:cstheme="minorHAnsi"/>
          <w:noProof/>
          <w:sz w:val="16"/>
          <w:szCs w:val="16"/>
        </w:rPr>
        <w:t>Whereas Sector A = Agriculture, forestry and fishing; B= Mining and quarrying; C = Manufacturing; D = Electricity, gas, steam and air conditioning supply; E = Water supply; sewerage; waste management and remediation activities; F = Construction; G = Wholesale and retail trade; repair of motor vehicles and motorcycles; H = Transporting and storage; L = Real estate activities</w:t>
      </w:r>
    </w:p>
    <w:tbl>
      <w:tblPr>
        <w:tblStyle w:val="TableGrid"/>
        <w:tblW w:w="0" w:type="auto"/>
        <w:tblLook w:val="04A0" w:firstRow="1" w:lastRow="0" w:firstColumn="1" w:lastColumn="0" w:noHBand="0" w:noVBand="1"/>
      </w:tblPr>
      <w:tblGrid>
        <w:gridCol w:w="2171"/>
        <w:gridCol w:w="2124"/>
        <w:gridCol w:w="2172"/>
        <w:gridCol w:w="1735"/>
        <w:gridCol w:w="1721"/>
        <w:gridCol w:w="1485"/>
        <w:gridCol w:w="3153"/>
      </w:tblGrid>
      <w:tr w:rsidR="00144F39" w:rsidRPr="009660DC" w14:paraId="69A64A84" w14:textId="77777777" w:rsidTr="00144F39">
        <w:tc>
          <w:tcPr>
            <w:tcW w:w="2171" w:type="dxa"/>
          </w:tcPr>
          <w:p w14:paraId="33956478" w14:textId="639058CB" w:rsidR="00144F39" w:rsidRPr="009660DC" w:rsidRDefault="00144F39" w:rsidP="00C725DE">
            <w:pPr>
              <w:rPr>
                <w:rFonts w:cstheme="minorHAnsi"/>
                <w:sz w:val="18"/>
                <w:szCs w:val="18"/>
              </w:rPr>
            </w:pPr>
            <w:r w:rsidRPr="009660DC">
              <w:rPr>
                <w:rFonts w:cstheme="minorHAnsi"/>
                <w:noProof/>
              </w:rPr>
              <w:t>Biodiversity</w:t>
            </w:r>
          </w:p>
        </w:tc>
        <w:tc>
          <w:tcPr>
            <w:tcW w:w="2124" w:type="dxa"/>
          </w:tcPr>
          <w:p w14:paraId="053C2325" w14:textId="6868BCD3" w:rsidR="00144F39" w:rsidRPr="009660DC" w:rsidRDefault="00144F39" w:rsidP="004140B2">
            <w:pPr>
              <w:rPr>
                <w:rFonts w:cstheme="minorHAnsi"/>
                <w:sz w:val="18"/>
                <w:szCs w:val="18"/>
              </w:rPr>
            </w:pPr>
            <w:r w:rsidRPr="009660DC">
              <w:rPr>
                <w:rFonts w:cstheme="minorHAnsi"/>
                <w:sz w:val="18"/>
                <w:szCs w:val="18"/>
              </w:rPr>
              <w:t xml:space="preserve">7. </w:t>
            </w:r>
            <w:r w:rsidRPr="009660DC">
              <w:rPr>
                <w:rFonts w:cstheme="minorHAnsi"/>
                <w:bCs/>
                <w:noProof/>
              </w:rPr>
              <w:t>Activities negatively affecting biodiversity-sensitive areas</w:t>
            </w:r>
          </w:p>
        </w:tc>
        <w:tc>
          <w:tcPr>
            <w:tcW w:w="2172" w:type="dxa"/>
          </w:tcPr>
          <w:p w14:paraId="6F1CE3DB" w14:textId="760F0AD6" w:rsidR="00144F39" w:rsidRPr="009660DC" w:rsidRDefault="00144F39" w:rsidP="00C725DE">
            <w:pPr>
              <w:rPr>
                <w:rFonts w:cstheme="minorHAnsi"/>
                <w:sz w:val="18"/>
                <w:szCs w:val="18"/>
              </w:rPr>
            </w:pPr>
            <w:r w:rsidRPr="009660DC">
              <w:rPr>
                <w:rFonts w:cstheme="minorHAnsi"/>
                <w:bCs/>
                <w:noProof/>
              </w:rPr>
              <w:t>Share of investments in investee companies with sites/operations located in or near to biodiversity-sensitive areas where activities of those investee companies negatively affect those areas</w:t>
            </w:r>
          </w:p>
        </w:tc>
        <w:tc>
          <w:tcPr>
            <w:tcW w:w="1735" w:type="dxa"/>
          </w:tcPr>
          <w:p w14:paraId="40ADDCB5" w14:textId="143AC53A" w:rsidR="00144F39" w:rsidRPr="009660DC" w:rsidRDefault="00144F39" w:rsidP="00C725DE">
            <w:pPr>
              <w:rPr>
                <w:rFonts w:cstheme="minorHAnsi"/>
                <w:sz w:val="18"/>
                <w:szCs w:val="18"/>
              </w:rPr>
            </w:pPr>
            <w:r w:rsidRPr="009660DC">
              <w:rPr>
                <w:rFonts w:cstheme="minorHAnsi"/>
                <w:sz w:val="18"/>
                <w:szCs w:val="18"/>
              </w:rPr>
              <w:t>0,00</w:t>
            </w:r>
          </w:p>
        </w:tc>
        <w:tc>
          <w:tcPr>
            <w:tcW w:w="1721" w:type="dxa"/>
          </w:tcPr>
          <w:p w14:paraId="425E4936" w14:textId="6BF3818E" w:rsidR="00144F39" w:rsidRPr="009660DC" w:rsidRDefault="00144F39" w:rsidP="00C725DE">
            <w:pPr>
              <w:rPr>
                <w:rFonts w:cstheme="minorHAnsi"/>
                <w:sz w:val="18"/>
                <w:szCs w:val="18"/>
              </w:rPr>
            </w:pPr>
            <w:r w:rsidRPr="009660DC">
              <w:rPr>
                <w:rFonts w:cstheme="minorHAnsi"/>
                <w:sz w:val="18"/>
                <w:szCs w:val="18"/>
              </w:rPr>
              <w:t>No data</w:t>
            </w:r>
          </w:p>
        </w:tc>
        <w:tc>
          <w:tcPr>
            <w:tcW w:w="1485" w:type="dxa"/>
          </w:tcPr>
          <w:p w14:paraId="362B71D0" w14:textId="3BCF7EF0" w:rsidR="00144F39" w:rsidRPr="009660DC" w:rsidRDefault="00144F39" w:rsidP="00C725DE">
            <w:pPr>
              <w:jc w:val="both"/>
              <w:rPr>
                <w:rFonts w:cstheme="minorHAnsi"/>
                <w:sz w:val="18"/>
                <w:szCs w:val="18"/>
              </w:rPr>
            </w:pPr>
            <w:r w:rsidRPr="009660DC">
              <w:rPr>
                <w:rFonts w:cstheme="minorHAnsi"/>
                <w:sz w:val="18"/>
                <w:szCs w:val="18"/>
              </w:rPr>
              <w:t>N/A</w:t>
            </w:r>
          </w:p>
        </w:tc>
        <w:tc>
          <w:tcPr>
            <w:tcW w:w="3153" w:type="dxa"/>
            <w:vMerge w:val="restart"/>
          </w:tcPr>
          <w:p w14:paraId="3BBA0032" w14:textId="58885FBF" w:rsidR="00144F39" w:rsidRPr="009660DC" w:rsidRDefault="004271D5" w:rsidP="00EE150C">
            <w:pPr>
              <w:rPr>
                <w:rFonts w:cstheme="minorHAnsi"/>
                <w:sz w:val="18"/>
                <w:szCs w:val="18"/>
              </w:rPr>
            </w:pPr>
            <w:r w:rsidRPr="009660DC">
              <w:rPr>
                <w:rFonts w:cstheme="minorHAnsi"/>
                <w:sz w:val="18"/>
                <w:szCs w:val="18"/>
              </w:rPr>
              <w:t>Although w</w:t>
            </w:r>
            <w:r w:rsidR="00D14302" w:rsidRPr="009660DC">
              <w:rPr>
                <w:rFonts w:cstheme="minorHAnsi"/>
                <w:sz w:val="18"/>
                <w:szCs w:val="18"/>
              </w:rPr>
              <w:t>e</w:t>
            </w:r>
            <w:r w:rsidR="00144F39" w:rsidRPr="009660DC">
              <w:rPr>
                <w:rFonts w:cstheme="minorHAnsi"/>
                <w:sz w:val="18"/>
                <w:szCs w:val="18"/>
              </w:rPr>
              <w:t xml:space="preserve"> have not set </w:t>
            </w:r>
            <w:r w:rsidR="00461815" w:rsidRPr="009660DC">
              <w:rPr>
                <w:rFonts w:cstheme="minorHAnsi"/>
                <w:sz w:val="18"/>
                <w:szCs w:val="18"/>
              </w:rPr>
              <w:t>separate</w:t>
            </w:r>
            <w:r w:rsidR="00EE150C" w:rsidRPr="009660DC">
              <w:rPr>
                <w:rFonts w:cstheme="minorHAnsi"/>
                <w:sz w:val="18"/>
                <w:szCs w:val="18"/>
              </w:rPr>
              <w:t xml:space="preserve"> </w:t>
            </w:r>
            <w:r w:rsidR="00144F39" w:rsidRPr="009660DC">
              <w:rPr>
                <w:rFonts w:cstheme="minorHAnsi"/>
                <w:sz w:val="18"/>
                <w:szCs w:val="18"/>
              </w:rPr>
              <w:t xml:space="preserve">targets </w:t>
            </w:r>
            <w:r w:rsidR="00D14302" w:rsidRPr="009660DC">
              <w:rPr>
                <w:rFonts w:cstheme="minorHAnsi"/>
                <w:sz w:val="18"/>
                <w:szCs w:val="18"/>
              </w:rPr>
              <w:t xml:space="preserve">for </w:t>
            </w:r>
            <w:r w:rsidR="00144F39" w:rsidRPr="009660DC">
              <w:rPr>
                <w:rFonts w:cstheme="minorHAnsi"/>
                <w:sz w:val="18"/>
                <w:szCs w:val="18"/>
              </w:rPr>
              <w:t xml:space="preserve">biodiversity, </w:t>
            </w:r>
            <w:proofErr w:type="gramStart"/>
            <w:r w:rsidR="00144F39" w:rsidRPr="009660DC">
              <w:rPr>
                <w:rFonts w:cstheme="minorHAnsi"/>
                <w:sz w:val="18"/>
                <w:szCs w:val="18"/>
              </w:rPr>
              <w:t>water</w:t>
            </w:r>
            <w:proofErr w:type="gramEnd"/>
            <w:r w:rsidR="00144F39" w:rsidRPr="009660DC">
              <w:rPr>
                <w:rFonts w:cstheme="minorHAnsi"/>
                <w:sz w:val="18"/>
                <w:szCs w:val="18"/>
              </w:rPr>
              <w:t xml:space="preserve"> and waste</w:t>
            </w:r>
            <w:r w:rsidR="00D14302" w:rsidRPr="009660DC">
              <w:rPr>
                <w:rFonts w:cstheme="minorHAnsi"/>
                <w:sz w:val="18"/>
                <w:szCs w:val="18"/>
              </w:rPr>
              <w:t xml:space="preserve"> related indicators</w:t>
            </w:r>
            <w:r w:rsidRPr="009660DC">
              <w:rPr>
                <w:rFonts w:cstheme="minorHAnsi"/>
                <w:sz w:val="18"/>
                <w:szCs w:val="18"/>
              </w:rPr>
              <w:t>, n</w:t>
            </w:r>
            <w:r w:rsidR="00D14302" w:rsidRPr="009660DC">
              <w:rPr>
                <w:rFonts w:cstheme="minorHAnsi"/>
                <w:sz w:val="18"/>
                <w:szCs w:val="18"/>
              </w:rPr>
              <w:t xml:space="preserve">evertheless, in </w:t>
            </w:r>
            <w:r w:rsidR="00144F39" w:rsidRPr="009660DC">
              <w:rPr>
                <w:rFonts w:cstheme="minorHAnsi"/>
                <w:sz w:val="18"/>
                <w:szCs w:val="18"/>
              </w:rPr>
              <w:t>our investment portfolio</w:t>
            </w:r>
            <w:r w:rsidR="00D14302" w:rsidRPr="009660DC">
              <w:rPr>
                <w:rFonts w:cstheme="minorHAnsi"/>
                <w:sz w:val="18"/>
                <w:szCs w:val="18"/>
              </w:rPr>
              <w:t xml:space="preserve"> </w:t>
            </w:r>
            <w:r w:rsidR="00144F39" w:rsidRPr="009660DC">
              <w:rPr>
                <w:rFonts w:cstheme="minorHAnsi"/>
                <w:sz w:val="18"/>
                <w:szCs w:val="18"/>
              </w:rPr>
              <w:t xml:space="preserve">we consider </w:t>
            </w:r>
            <w:r w:rsidRPr="009660DC">
              <w:rPr>
                <w:rFonts w:cstheme="minorHAnsi"/>
                <w:sz w:val="18"/>
                <w:szCs w:val="18"/>
              </w:rPr>
              <w:t>several</w:t>
            </w:r>
            <w:r w:rsidR="00144F39" w:rsidRPr="009660DC">
              <w:rPr>
                <w:rFonts w:cstheme="minorHAnsi"/>
                <w:sz w:val="18"/>
                <w:szCs w:val="18"/>
              </w:rPr>
              <w:t xml:space="preserve"> ESG aspects of our investment decisions through the systematic integration of ESG criteria into our investment management activities. External ESG data providers supply us with </w:t>
            </w:r>
            <w:r w:rsidR="002826FB" w:rsidRPr="009660DC">
              <w:rPr>
                <w:rFonts w:cstheme="minorHAnsi"/>
                <w:sz w:val="18"/>
                <w:szCs w:val="18"/>
              </w:rPr>
              <w:t>issuer specific</w:t>
            </w:r>
            <w:r w:rsidR="00144F39" w:rsidRPr="009660DC">
              <w:rPr>
                <w:rFonts w:cstheme="minorHAnsi"/>
                <w:sz w:val="18"/>
                <w:szCs w:val="18"/>
              </w:rPr>
              <w:t xml:space="preserve"> ESG ratings</w:t>
            </w:r>
            <w:r w:rsidR="002826FB" w:rsidRPr="009660DC">
              <w:rPr>
                <w:rFonts w:cstheme="minorHAnsi"/>
                <w:sz w:val="18"/>
                <w:szCs w:val="18"/>
              </w:rPr>
              <w:t>, research data and vari</w:t>
            </w:r>
            <w:r w:rsidR="002826FB" w:rsidRPr="009660DC">
              <w:rPr>
                <w:rFonts w:cstheme="minorHAnsi"/>
                <w:sz w:val="18"/>
                <w:szCs w:val="18"/>
              </w:rPr>
              <w:lastRenderedPageBreak/>
              <w:t xml:space="preserve">ous </w:t>
            </w:r>
            <w:r w:rsidR="00144F39" w:rsidRPr="009660DC">
              <w:rPr>
                <w:rFonts w:cstheme="minorHAnsi"/>
                <w:sz w:val="18"/>
                <w:szCs w:val="18"/>
              </w:rPr>
              <w:t>indicators</w:t>
            </w:r>
            <w:r w:rsidRPr="009660DC">
              <w:rPr>
                <w:rFonts w:cstheme="minorHAnsi"/>
                <w:sz w:val="18"/>
                <w:szCs w:val="18"/>
              </w:rPr>
              <w:t xml:space="preserve"> </w:t>
            </w:r>
            <w:r w:rsidR="002826FB" w:rsidRPr="009660DC">
              <w:rPr>
                <w:rFonts w:cstheme="minorHAnsi"/>
                <w:sz w:val="18"/>
                <w:szCs w:val="18"/>
              </w:rPr>
              <w:t xml:space="preserve">(also including specific ESG aspects </w:t>
            </w:r>
            <w:r w:rsidR="009660DC" w:rsidRPr="009660DC">
              <w:rPr>
                <w:rFonts w:cstheme="minorHAnsi"/>
                <w:sz w:val="18"/>
                <w:szCs w:val="18"/>
              </w:rPr>
              <w:t>e.g.,</w:t>
            </w:r>
            <w:r w:rsidR="002826FB" w:rsidRPr="009660DC">
              <w:rPr>
                <w:rFonts w:cstheme="minorHAnsi"/>
                <w:sz w:val="18"/>
                <w:szCs w:val="18"/>
              </w:rPr>
              <w:t xml:space="preserve"> environment</w:t>
            </w:r>
            <w:r w:rsidR="000A57EE" w:rsidRPr="009660DC">
              <w:rPr>
                <w:rFonts w:cstheme="minorHAnsi"/>
                <w:sz w:val="18"/>
                <w:szCs w:val="18"/>
              </w:rPr>
              <w:t>al</w:t>
            </w:r>
            <w:r w:rsidR="002826FB" w:rsidRPr="009660DC">
              <w:rPr>
                <w:rFonts w:cstheme="minorHAnsi"/>
                <w:sz w:val="18"/>
                <w:szCs w:val="18"/>
              </w:rPr>
              <w:t>, social and biodiversity related</w:t>
            </w:r>
            <w:r w:rsidRPr="009660DC">
              <w:rPr>
                <w:rFonts w:cstheme="minorHAnsi"/>
                <w:sz w:val="18"/>
                <w:szCs w:val="18"/>
              </w:rPr>
              <w:t>)</w:t>
            </w:r>
            <w:r w:rsidR="00144F39" w:rsidRPr="009660DC">
              <w:rPr>
                <w:rFonts w:cstheme="minorHAnsi"/>
                <w:sz w:val="18"/>
                <w:szCs w:val="18"/>
              </w:rPr>
              <w:t>. Issuers with low</w:t>
            </w:r>
            <w:r w:rsidR="005D50DE" w:rsidRPr="009660DC">
              <w:rPr>
                <w:rFonts w:cstheme="minorHAnsi"/>
                <w:sz w:val="18"/>
                <w:szCs w:val="18"/>
              </w:rPr>
              <w:t>est</w:t>
            </w:r>
            <w:r w:rsidR="002826FB" w:rsidRPr="009660DC">
              <w:rPr>
                <w:rFonts w:cstheme="minorHAnsi"/>
                <w:sz w:val="18"/>
                <w:szCs w:val="18"/>
              </w:rPr>
              <w:t xml:space="preserve"> ESG </w:t>
            </w:r>
            <w:r w:rsidR="00144F39" w:rsidRPr="009660DC">
              <w:rPr>
                <w:rFonts w:cstheme="minorHAnsi"/>
                <w:sz w:val="18"/>
                <w:szCs w:val="18"/>
              </w:rPr>
              <w:t>ratings or which exhibit high adverse impact across several indicators, may be subject to further analysis and potential exclusions.</w:t>
            </w:r>
            <w:r w:rsidR="005A3E95" w:rsidRPr="009660DC">
              <w:rPr>
                <w:rFonts w:cstheme="minorHAnsi"/>
                <w:sz w:val="18"/>
                <w:szCs w:val="18"/>
              </w:rPr>
              <w:t xml:space="preserve"> </w:t>
            </w:r>
          </w:p>
        </w:tc>
      </w:tr>
      <w:tr w:rsidR="00144F39" w:rsidRPr="009660DC" w14:paraId="0154408E" w14:textId="77777777" w:rsidTr="00144F39">
        <w:tc>
          <w:tcPr>
            <w:tcW w:w="2171" w:type="dxa"/>
          </w:tcPr>
          <w:p w14:paraId="3C381E68" w14:textId="75C724B1" w:rsidR="00144F39" w:rsidRPr="009660DC" w:rsidRDefault="00144F39" w:rsidP="0013353A">
            <w:pPr>
              <w:rPr>
                <w:rFonts w:cstheme="minorHAnsi"/>
                <w:sz w:val="18"/>
                <w:szCs w:val="18"/>
              </w:rPr>
            </w:pPr>
            <w:r w:rsidRPr="009660DC">
              <w:rPr>
                <w:rFonts w:cstheme="minorHAnsi"/>
                <w:noProof/>
              </w:rPr>
              <w:lastRenderedPageBreak/>
              <w:t>Water</w:t>
            </w:r>
          </w:p>
        </w:tc>
        <w:tc>
          <w:tcPr>
            <w:tcW w:w="2124" w:type="dxa"/>
          </w:tcPr>
          <w:p w14:paraId="4FF34150" w14:textId="11444EF6" w:rsidR="00144F39" w:rsidRPr="009660DC" w:rsidRDefault="00144F39" w:rsidP="0013353A">
            <w:pPr>
              <w:rPr>
                <w:rFonts w:cstheme="minorHAnsi"/>
                <w:sz w:val="18"/>
                <w:szCs w:val="18"/>
              </w:rPr>
            </w:pPr>
            <w:r w:rsidRPr="009660DC">
              <w:rPr>
                <w:rFonts w:cstheme="minorHAnsi"/>
                <w:sz w:val="18"/>
                <w:szCs w:val="18"/>
              </w:rPr>
              <w:t xml:space="preserve">8. </w:t>
            </w:r>
            <w:r w:rsidRPr="009660DC">
              <w:rPr>
                <w:rFonts w:cstheme="minorHAnsi"/>
                <w:noProof/>
              </w:rPr>
              <w:t>Emissions to water</w:t>
            </w:r>
          </w:p>
        </w:tc>
        <w:tc>
          <w:tcPr>
            <w:tcW w:w="2172" w:type="dxa"/>
          </w:tcPr>
          <w:p w14:paraId="421D897B" w14:textId="2DEF90A8" w:rsidR="00144F39" w:rsidRPr="009660DC" w:rsidRDefault="00144F39" w:rsidP="0013353A">
            <w:pPr>
              <w:rPr>
                <w:rFonts w:cstheme="minorHAnsi"/>
                <w:sz w:val="18"/>
                <w:szCs w:val="18"/>
              </w:rPr>
            </w:pPr>
            <w:r w:rsidRPr="009660DC">
              <w:rPr>
                <w:rFonts w:cstheme="minorHAnsi"/>
                <w:noProof/>
              </w:rPr>
              <w:t>Tonnes of emissions to water generated by investee companies per million EUR invested, expressed as a weighted average</w:t>
            </w:r>
          </w:p>
        </w:tc>
        <w:tc>
          <w:tcPr>
            <w:tcW w:w="1735" w:type="dxa"/>
          </w:tcPr>
          <w:p w14:paraId="37DD6F7F" w14:textId="2C0C247B" w:rsidR="00144F39" w:rsidRPr="009660DC" w:rsidRDefault="00144F39" w:rsidP="0013353A">
            <w:pPr>
              <w:rPr>
                <w:rFonts w:cstheme="minorHAnsi"/>
                <w:sz w:val="18"/>
                <w:szCs w:val="18"/>
              </w:rPr>
            </w:pPr>
            <w:r w:rsidRPr="009660DC">
              <w:rPr>
                <w:rFonts w:cstheme="minorHAnsi"/>
                <w:sz w:val="18"/>
                <w:szCs w:val="18"/>
              </w:rPr>
              <w:t>0,31</w:t>
            </w:r>
          </w:p>
        </w:tc>
        <w:tc>
          <w:tcPr>
            <w:tcW w:w="1721" w:type="dxa"/>
          </w:tcPr>
          <w:p w14:paraId="02301159" w14:textId="4B920CAC" w:rsidR="00144F39" w:rsidRPr="009660DC" w:rsidRDefault="00144F39" w:rsidP="0013353A">
            <w:pPr>
              <w:rPr>
                <w:rFonts w:cstheme="minorHAnsi"/>
                <w:sz w:val="18"/>
                <w:szCs w:val="18"/>
              </w:rPr>
            </w:pPr>
            <w:r w:rsidRPr="009660DC">
              <w:rPr>
                <w:rFonts w:cstheme="minorHAnsi"/>
                <w:sz w:val="18"/>
                <w:szCs w:val="18"/>
              </w:rPr>
              <w:t>No data</w:t>
            </w:r>
          </w:p>
        </w:tc>
        <w:tc>
          <w:tcPr>
            <w:tcW w:w="1485" w:type="dxa"/>
          </w:tcPr>
          <w:p w14:paraId="091638C2" w14:textId="6D2F7BD2" w:rsidR="00144F39" w:rsidRPr="009660DC" w:rsidRDefault="00144F39" w:rsidP="0013353A">
            <w:pPr>
              <w:rPr>
                <w:rFonts w:cstheme="minorHAnsi"/>
                <w:sz w:val="18"/>
                <w:szCs w:val="18"/>
              </w:rPr>
            </w:pPr>
            <w:r w:rsidRPr="009660DC">
              <w:rPr>
                <w:rFonts w:cstheme="minorHAnsi"/>
                <w:sz w:val="18"/>
                <w:szCs w:val="18"/>
              </w:rPr>
              <w:t>N/A</w:t>
            </w:r>
          </w:p>
        </w:tc>
        <w:tc>
          <w:tcPr>
            <w:tcW w:w="3153" w:type="dxa"/>
            <w:vMerge/>
          </w:tcPr>
          <w:p w14:paraId="348C3183" w14:textId="21B9FDAF" w:rsidR="00144F39" w:rsidRPr="009660DC" w:rsidRDefault="00144F39" w:rsidP="00A56DE9">
            <w:pPr>
              <w:rPr>
                <w:rFonts w:cstheme="minorHAnsi"/>
                <w:sz w:val="18"/>
                <w:szCs w:val="18"/>
              </w:rPr>
            </w:pPr>
          </w:p>
        </w:tc>
      </w:tr>
      <w:tr w:rsidR="00144F39" w:rsidRPr="009660DC" w14:paraId="1D60306F" w14:textId="77777777" w:rsidTr="00144F39">
        <w:tc>
          <w:tcPr>
            <w:tcW w:w="2171" w:type="dxa"/>
          </w:tcPr>
          <w:p w14:paraId="7FF22F3D" w14:textId="150AF4EF" w:rsidR="00144F39" w:rsidRPr="009660DC" w:rsidRDefault="00144F39" w:rsidP="0013353A">
            <w:pPr>
              <w:rPr>
                <w:rFonts w:cstheme="minorHAnsi"/>
                <w:sz w:val="18"/>
                <w:szCs w:val="18"/>
              </w:rPr>
            </w:pPr>
            <w:r w:rsidRPr="009660DC">
              <w:rPr>
                <w:rFonts w:cstheme="minorHAnsi"/>
                <w:sz w:val="18"/>
                <w:szCs w:val="18"/>
              </w:rPr>
              <w:t>Waste</w:t>
            </w:r>
          </w:p>
        </w:tc>
        <w:tc>
          <w:tcPr>
            <w:tcW w:w="2124" w:type="dxa"/>
          </w:tcPr>
          <w:p w14:paraId="090B4035" w14:textId="47A0123A" w:rsidR="00144F39" w:rsidRPr="009660DC" w:rsidRDefault="00144F39" w:rsidP="0013353A">
            <w:pPr>
              <w:rPr>
                <w:rFonts w:cstheme="minorHAnsi"/>
                <w:sz w:val="18"/>
                <w:szCs w:val="18"/>
              </w:rPr>
            </w:pPr>
            <w:r w:rsidRPr="009660DC">
              <w:rPr>
                <w:rFonts w:cstheme="minorHAnsi"/>
                <w:sz w:val="18"/>
                <w:szCs w:val="18"/>
              </w:rPr>
              <w:t xml:space="preserve">9. </w:t>
            </w:r>
            <w:r w:rsidRPr="009660DC">
              <w:rPr>
                <w:rFonts w:cstheme="minorHAnsi"/>
                <w:bCs/>
                <w:noProof/>
              </w:rPr>
              <w:t>Hazardous waste and radioactive waste ratio</w:t>
            </w:r>
          </w:p>
        </w:tc>
        <w:tc>
          <w:tcPr>
            <w:tcW w:w="2172" w:type="dxa"/>
          </w:tcPr>
          <w:p w14:paraId="0FAAED46" w14:textId="392A241E" w:rsidR="00144F39" w:rsidRPr="009660DC" w:rsidRDefault="00144F39" w:rsidP="0013353A">
            <w:pPr>
              <w:rPr>
                <w:rFonts w:cstheme="minorHAnsi"/>
                <w:sz w:val="18"/>
                <w:szCs w:val="18"/>
              </w:rPr>
            </w:pPr>
            <w:r w:rsidRPr="009660DC">
              <w:rPr>
                <w:rFonts w:cstheme="minorHAnsi"/>
                <w:noProof/>
              </w:rPr>
              <w:t>Tonnes of hazardous waste</w:t>
            </w:r>
            <w:r w:rsidRPr="009660DC">
              <w:rPr>
                <w:rFonts w:cstheme="minorHAnsi"/>
                <w:bCs/>
                <w:noProof/>
              </w:rPr>
              <w:t xml:space="preserve"> and radioactive waste</w:t>
            </w:r>
            <w:r w:rsidRPr="009660DC">
              <w:rPr>
                <w:rFonts w:cstheme="minorHAnsi"/>
                <w:noProof/>
              </w:rPr>
              <w:t xml:space="preserve"> generated by investee companies per million EUR invested, expressed as a weighted average</w:t>
            </w:r>
          </w:p>
        </w:tc>
        <w:tc>
          <w:tcPr>
            <w:tcW w:w="1735" w:type="dxa"/>
          </w:tcPr>
          <w:p w14:paraId="026E9FCE" w14:textId="1A84E5E5" w:rsidR="00144F39" w:rsidRPr="009660DC" w:rsidRDefault="00144F39" w:rsidP="0013353A">
            <w:pPr>
              <w:rPr>
                <w:rFonts w:cstheme="minorHAnsi"/>
                <w:sz w:val="18"/>
                <w:szCs w:val="18"/>
              </w:rPr>
            </w:pPr>
            <w:r w:rsidRPr="009660DC">
              <w:rPr>
                <w:rFonts w:cstheme="minorHAnsi"/>
                <w:sz w:val="18"/>
                <w:szCs w:val="18"/>
              </w:rPr>
              <w:t>1,95</w:t>
            </w:r>
          </w:p>
        </w:tc>
        <w:tc>
          <w:tcPr>
            <w:tcW w:w="1721" w:type="dxa"/>
          </w:tcPr>
          <w:p w14:paraId="2B5D5CDD" w14:textId="79214FE9" w:rsidR="00144F39" w:rsidRPr="009660DC" w:rsidRDefault="00144F39" w:rsidP="0013353A">
            <w:pPr>
              <w:rPr>
                <w:rFonts w:cstheme="minorHAnsi"/>
                <w:sz w:val="18"/>
                <w:szCs w:val="18"/>
              </w:rPr>
            </w:pPr>
            <w:r w:rsidRPr="009660DC">
              <w:rPr>
                <w:rFonts w:cstheme="minorHAnsi"/>
                <w:sz w:val="18"/>
                <w:szCs w:val="18"/>
              </w:rPr>
              <w:t>No data</w:t>
            </w:r>
          </w:p>
        </w:tc>
        <w:tc>
          <w:tcPr>
            <w:tcW w:w="1485" w:type="dxa"/>
          </w:tcPr>
          <w:p w14:paraId="37C05A3C" w14:textId="51AE1F2C" w:rsidR="00144F39" w:rsidRPr="009660DC" w:rsidRDefault="00144F39" w:rsidP="0013353A">
            <w:pPr>
              <w:rPr>
                <w:rFonts w:cstheme="minorHAnsi"/>
                <w:sz w:val="18"/>
                <w:szCs w:val="18"/>
              </w:rPr>
            </w:pPr>
            <w:r w:rsidRPr="009660DC">
              <w:rPr>
                <w:rFonts w:cstheme="minorHAnsi"/>
                <w:sz w:val="18"/>
                <w:szCs w:val="18"/>
              </w:rPr>
              <w:t>N/A</w:t>
            </w:r>
          </w:p>
        </w:tc>
        <w:tc>
          <w:tcPr>
            <w:tcW w:w="3153" w:type="dxa"/>
            <w:vMerge/>
          </w:tcPr>
          <w:p w14:paraId="6952825E" w14:textId="77777777" w:rsidR="00144F39" w:rsidRPr="009660DC" w:rsidRDefault="00144F39" w:rsidP="0013353A">
            <w:pPr>
              <w:rPr>
                <w:rFonts w:cstheme="minorHAnsi"/>
                <w:sz w:val="18"/>
                <w:szCs w:val="18"/>
              </w:rPr>
            </w:pPr>
          </w:p>
        </w:tc>
      </w:tr>
      <w:tr w:rsidR="00C725DE" w:rsidRPr="009660DC" w14:paraId="4A6B4E1F" w14:textId="77777777" w:rsidTr="00C725DE">
        <w:tc>
          <w:tcPr>
            <w:tcW w:w="14561" w:type="dxa"/>
            <w:gridSpan w:val="7"/>
          </w:tcPr>
          <w:p w14:paraId="271B9DF7" w14:textId="77777777" w:rsidR="004140B2" w:rsidRPr="009660DC" w:rsidRDefault="004140B2" w:rsidP="004140B2">
            <w:pPr>
              <w:jc w:val="center"/>
              <w:rPr>
                <w:rFonts w:cstheme="minorHAnsi"/>
                <w:b/>
                <w:noProof/>
              </w:rPr>
            </w:pPr>
            <w:r w:rsidRPr="009660DC">
              <w:rPr>
                <w:rFonts w:cstheme="minorHAnsi"/>
                <w:b/>
                <w:noProof/>
              </w:rPr>
              <w:t>INDICATORS FOR SOCIAL AND EMPLOYEE, RESPECT FOR HUMAN RIGHTS, ANTI-CORRUPTION AND ANTI-BRIBERY MATTERS</w:t>
            </w:r>
          </w:p>
          <w:p w14:paraId="09CAF6D0" w14:textId="3695AD06" w:rsidR="00C725DE" w:rsidRPr="009660DC" w:rsidRDefault="00C725DE" w:rsidP="00C725DE">
            <w:pPr>
              <w:rPr>
                <w:rFonts w:cstheme="minorHAnsi"/>
                <w:b/>
                <w:sz w:val="18"/>
                <w:szCs w:val="18"/>
              </w:rPr>
            </w:pPr>
          </w:p>
        </w:tc>
      </w:tr>
      <w:tr w:rsidR="00EE150C" w:rsidRPr="009660DC" w14:paraId="6191F125" w14:textId="77777777" w:rsidTr="00144F39">
        <w:tc>
          <w:tcPr>
            <w:tcW w:w="2171" w:type="dxa"/>
          </w:tcPr>
          <w:p w14:paraId="2F7DEA20" w14:textId="5E0ECE14" w:rsidR="00EE150C" w:rsidRPr="009660DC" w:rsidRDefault="00EE150C" w:rsidP="0013353A">
            <w:pPr>
              <w:rPr>
                <w:rFonts w:cstheme="minorHAnsi"/>
                <w:sz w:val="18"/>
                <w:szCs w:val="18"/>
              </w:rPr>
            </w:pPr>
            <w:r w:rsidRPr="009660DC">
              <w:rPr>
                <w:rFonts w:cstheme="minorHAnsi"/>
                <w:noProof/>
              </w:rPr>
              <w:t>Social and employee matters</w:t>
            </w:r>
          </w:p>
        </w:tc>
        <w:tc>
          <w:tcPr>
            <w:tcW w:w="2124" w:type="dxa"/>
          </w:tcPr>
          <w:p w14:paraId="0C8B9F9A" w14:textId="688D3306" w:rsidR="00EE150C" w:rsidRPr="009660DC" w:rsidRDefault="00EE150C" w:rsidP="0013353A">
            <w:pPr>
              <w:rPr>
                <w:rFonts w:cstheme="minorHAnsi"/>
                <w:sz w:val="18"/>
                <w:szCs w:val="18"/>
              </w:rPr>
            </w:pPr>
            <w:r w:rsidRPr="009660DC">
              <w:rPr>
                <w:rFonts w:cstheme="minorHAnsi"/>
                <w:sz w:val="18"/>
                <w:szCs w:val="18"/>
              </w:rPr>
              <w:t xml:space="preserve">10. </w:t>
            </w:r>
            <w:r w:rsidRPr="009660DC">
              <w:rPr>
                <w:rFonts w:cstheme="minorHAnsi"/>
                <w:bCs/>
                <w:noProof/>
              </w:rPr>
              <w:t>Violations of UN</w:t>
            </w:r>
            <w:r w:rsidRPr="009660DC">
              <w:rPr>
                <w:rFonts w:cstheme="minorHAnsi"/>
                <w:noProof/>
                <w:color w:val="000000"/>
              </w:rPr>
              <w:t xml:space="preserve"> Global Compact principles and </w:t>
            </w:r>
            <w:r w:rsidRPr="009660DC">
              <w:rPr>
                <w:rFonts w:cstheme="minorHAnsi"/>
                <w:bCs/>
                <w:noProof/>
              </w:rPr>
              <w:t>Organisation for Economic Cooperation and Development (</w:t>
            </w:r>
            <w:r w:rsidRPr="009660DC">
              <w:rPr>
                <w:rFonts w:cstheme="minorHAnsi"/>
                <w:noProof/>
                <w:color w:val="000000"/>
              </w:rPr>
              <w:t>OECD) Guidelines for Multinational Enterprises</w:t>
            </w:r>
          </w:p>
        </w:tc>
        <w:tc>
          <w:tcPr>
            <w:tcW w:w="2172" w:type="dxa"/>
          </w:tcPr>
          <w:p w14:paraId="63767F7B" w14:textId="667E2AEF" w:rsidR="00EE150C" w:rsidRPr="009660DC" w:rsidRDefault="00EE150C" w:rsidP="0013353A">
            <w:pPr>
              <w:rPr>
                <w:rFonts w:cstheme="minorHAnsi"/>
                <w:sz w:val="18"/>
                <w:szCs w:val="18"/>
              </w:rPr>
            </w:pPr>
            <w:r w:rsidRPr="009660DC">
              <w:rPr>
                <w:rFonts w:cstheme="minorHAnsi"/>
                <w:noProof/>
                <w:color w:val="000000"/>
              </w:rPr>
              <w:t>Share of investments in investee companies that have been involved in violations of the UNGC principles or OECD Guidelines for Multinational Enterprises</w:t>
            </w:r>
          </w:p>
        </w:tc>
        <w:tc>
          <w:tcPr>
            <w:tcW w:w="1735" w:type="dxa"/>
          </w:tcPr>
          <w:p w14:paraId="5FE6BF66" w14:textId="3C2AE69A" w:rsidR="00EE150C" w:rsidRPr="009660DC" w:rsidRDefault="00EE150C" w:rsidP="0013353A">
            <w:pPr>
              <w:rPr>
                <w:rFonts w:cstheme="minorHAnsi"/>
                <w:sz w:val="18"/>
                <w:szCs w:val="18"/>
              </w:rPr>
            </w:pPr>
            <w:r w:rsidRPr="009660DC">
              <w:rPr>
                <w:rFonts w:cstheme="minorHAnsi"/>
                <w:sz w:val="18"/>
                <w:szCs w:val="18"/>
              </w:rPr>
              <w:t>2,0%</w:t>
            </w:r>
          </w:p>
        </w:tc>
        <w:tc>
          <w:tcPr>
            <w:tcW w:w="1721" w:type="dxa"/>
          </w:tcPr>
          <w:p w14:paraId="540575C9" w14:textId="2A5F9F15" w:rsidR="00EE150C" w:rsidRPr="009660DC" w:rsidRDefault="00EE150C" w:rsidP="0013353A">
            <w:pPr>
              <w:rPr>
                <w:rFonts w:cstheme="minorHAnsi"/>
                <w:sz w:val="18"/>
                <w:szCs w:val="18"/>
              </w:rPr>
            </w:pPr>
            <w:r w:rsidRPr="009660DC">
              <w:rPr>
                <w:rFonts w:cstheme="minorHAnsi"/>
                <w:sz w:val="18"/>
                <w:szCs w:val="18"/>
              </w:rPr>
              <w:t>No data</w:t>
            </w:r>
          </w:p>
        </w:tc>
        <w:tc>
          <w:tcPr>
            <w:tcW w:w="1485" w:type="dxa"/>
          </w:tcPr>
          <w:p w14:paraId="708493A2" w14:textId="4C8AE95B" w:rsidR="00EE150C" w:rsidRPr="009660DC" w:rsidRDefault="00EE150C" w:rsidP="0013353A">
            <w:pPr>
              <w:rPr>
                <w:rFonts w:cstheme="minorHAnsi"/>
                <w:sz w:val="18"/>
                <w:szCs w:val="18"/>
              </w:rPr>
            </w:pPr>
            <w:r w:rsidRPr="009660DC">
              <w:rPr>
                <w:rFonts w:cstheme="minorHAnsi"/>
                <w:sz w:val="18"/>
                <w:szCs w:val="18"/>
              </w:rPr>
              <w:t>N/A</w:t>
            </w:r>
          </w:p>
        </w:tc>
        <w:tc>
          <w:tcPr>
            <w:tcW w:w="3153" w:type="dxa"/>
            <w:vMerge w:val="restart"/>
          </w:tcPr>
          <w:p w14:paraId="14839285" w14:textId="77777777" w:rsidR="007B4A80" w:rsidRPr="009660DC" w:rsidRDefault="007B4A80" w:rsidP="0013353A">
            <w:pPr>
              <w:rPr>
                <w:rFonts w:cstheme="minorHAnsi"/>
                <w:sz w:val="18"/>
                <w:szCs w:val="18"/>
              </w:rPr>
            </w:pPr>
            <w:r w:rsidRPr="009660DC">
              <w:rPr>
                <w:rFonts w:cstheme="minorHAnsi"/>
                <w:sz w:val="18"/>
                <w:szCs w:val="18"/>
              </w:rPr>
              <w:t xml:space="preserve">Our Group is one of the first signatories to the UN Principles for Responsible Investment (PRI) and remains committed to them. The aim of this initiative is to improve understanding of the impact of investment activities on environmental, social and governance issues and to support signatories in integrating these issues into their investment decisions. </w:t>
            </w:r>
          </w:p>
          <w:p w14:paraId="2920921B" w14:textId="138595CF" w:rsidR="00EE150C" w:rsidRPr="009660DC" w:rsidRDefault="005A3E95" w:rsidP="0013353A">
            <w:pPr>
              <w:rPr>
                <w:rFonts w:cstheme="minorHAnsi"/>
                <w:sz w:val="18"/>
                <w:szCs w:val="18"/>
              </w:rPr>
            </w:pPr>
            <w:r w:rsidRPr="009660DC">
              <w:rPr>
                <w:rFonts w:cstheme="minorHAnsi"/>
                <w:sz w:val="18"/>
                <w:szCs w:val="18"/>
              </w:rPr>
              <w:t>Although w</w:t>
            </w:r>
            <w:r w:rsidR="00EE150C" w:rsidRPr="009660DC">
              <w:rPr>
                <w:rFonts w:cstheme="minorHAnsi"/>
                <w:sz w:val="18"/>
                <w:szCs w:val="18"/>
              </w:rPr>
              <w:t>e have not set s</w:t>
            </w:r>
            <w:r w:rsidR="008B7631" w:rsidRPr="009660DC">
              <w:rPr>
                <w:rFonts w:cstheme="minorHAnsi"/>
                <w:sz w:val="18"/>
                <w:szCs w:val="18"/>
              </w:rPr>
              <w:t>eparate</w:t>
            </w:r>
            <w:r w:rsidR="00EE150C" w:rsidRPr="009660DC">
              <w:rPr>
                <w:rFonts w:cstheme="minorHAnsi"/>
                <w:sz w:val="18"/>
                <w:szCs w:val="18"/>
              </w:rPr>
              <w:t xml:space="preserve"> targets for social</w:t>
            </w:r>
            <w:r w:rsidR="004271D5" w:rsidRPr="009660DC">
              <w:rPr>
                <w:rFonts w:cstheme="minorHAnsi"/>
                <w:sz w:val="18"/>
                <w:szCs w:val="18"/>
              </w:rPr>
              <w:t xml:space="preserve"> and employee matters related</w:t>
            </w:r>
            <w:r w:rsidR="00EE150C" w:rsidRPr="009660DC">
              <w:rPr>
                <w:rFonts w:cstheme="minorHAnsi"/>
                <w:sz w:val="18"/>
                <w:szCs w:val="18"/>
              </w:rPr>
              <w:t xml:space="preserve"> </w:t>
            </w:r>
            <w:r w:rsidR="004271D5" w:rsidRPr="009660DC">
              <w:rPr>
                <w:rFonts w:cstheme="minorHAnsi"/>
                <w:sz w:val="18"/>
                <w:szCs w:val="18"/>
              </w:rPr>
              <w:t>indicators</w:t>
            </w:r>
            <w:r w:rsidR="00EE150C" w:rsidRPr="009660DC">
              <w:rPr>
                <w:rFonts w:cstheme="minorHAnsi"/>
                <w:sz w:val="18"/>
                <w:szCs w:val="18"/>
              </w:rPr>
              <w:t xml:space="preserve">, nevertheless, in our investment portfolio we consider </w:t>
            </w:r>
            <w:r w:rsidR="004271D5" w:rsidRPr="009660DC">
              <w:rPr>
                <w:rFonts w:cstheme="minorHAnsi"/>
                <w:sz w:val="18"/>
                <w:szCs w:val="18"/>
              </w:rPr>
              <w:t>several</w:t>
            </w:r>
            <w:r w:rsidR="00EE150C" w:rsidRPr="009660DC">
              <w:rPr>
                <w:rFonts w:cstheme="minorHAnsi"/>
                <w:sz w:val="18"/>
                <w:szCs w:val="18"/>
              </w:rPr>
              <w:t xml:space="preserve"> ESG aspects of our investment decisions through the systematic integration of ESG criteria </w:t>
            </w:r>
            <w:r w:rsidR="00EE150C" w:rsidRPr="009660DC">
              <w:rPr>
                <w:rFonts w:cstheme="minorHAnsi"/>
                <w:sz w:val="18"/>
                <w:szCs w:val="18"/>
              </w:rPr>
              <w:lastRenderedPageBreak/>
              <w:t>into our investment management activities. External ESG data providers supply us with issuer</w:t>
            </w:r>
            <w:r w:rsidR="005D50DE" w:rsidRPr="009660DC">
              <w:rPr>
                <w:rFonts w:cstheme="minorHAnsi"/>
                <w:sz w:val="18"/>
                <w:szCs w:val="18"/>
              </w:rPr>
              <w:t xml:space="preserve"> </w:t>
            </w:r>
            <w:r w:rsidR="00EE150C" w:rsidRPr="009660DC">
              <w:rPr>
                <w:rFonts w:cstheme="minorHAnsi"/>
                <w:sz w:val="18"/>
                <w:szCs w:val="18"/>
              </w:rPr>
              <w:t>specific ESG ratings</w:t>
            </w:r>
            <w:r w:rsidR="005D50DE" w:rsidRPr="009660DC">
              <w:rPr>
                <w:rFonts w:cstheme="minorHAnsi"/>
                <w:sz w:val="18"/>
                <w:szCs w:val="18"/>
              </w:rPr>
              <w:t>,</w:t>
            </w:r>
            <w:r w:rsidR="00EE150C" w:rsidRPr="009660DC">
              <w:rPr>
                <w:rFonts w:cstheme="minorHAnsi"/>
                <w:sz w:val="18"/>
                <w:szCs w:val="18"/>
              </w:rPr>
              <w:t xml:space="preserve"> </w:t>
            </w:r>
            <w:r w:rsidR="005D50DE" w:rsidRPr="009660DC">
              <w:rPr>
                <w:rFonts w:cstheme="minorHAnsi"/>
                <w:sz w:val="18"/>
                <w:szCs w:val="18"/>
              </w:rPr>
              <w:t xml:space="preserve">research data and various indicators (also including specific ESG aspects </w:t>
            </w:r>
            <w:r w:rsidR="009660DC" w:rsidRPr="009660DC">
              <w:rPr>
                <w:rFonts w:cstheme="minorHAnsi"/>
                <w:sz w:val="18"/>
                <w:szCs w:val="18"/>
              </w:rPr>
              <w:t>e.g.,</w:t>
            </w:r>
            <w:r w:rsidR="005D50DE" w:rsidRPr="009660DC">
              <w:rPr>
                <w:rFonts w:cstheme="minorHAnsi"/>
                <w:sz w:val="18"/>
                <w:szCs w:val="18"/>
              </w:rPr>
              <w:t xml:space="preserve"> environmental</w:t>
            </w:r>
            <w:r w:rsidR="007B4A80" w:rsidRPr="009660DC">
              <w:rPr>
                <w:rFonts w:cstheme="minorHAnsi"/>
                <w:sz w:val="18"/>
                <w:szCs w:val="18"/>
              </w:rPr>
              <w:t>,</w:t>
            </w:r>
            <w:r w:rsidR="005D50DE" w:rsidRPr="009660DC">
              <w:rPr>
                <w:rFonts w:cstheme="minorHAnsi"/>
                <w:sz w:val="18"/>
                <w:szCs w:val="18"/>
              </w:rPr>
              <w:t xml:space="preserve"> </w:t>
            </w:r>
            <w:proofErr w:type="gramStart"/>
            <w:r w:rsidR="005D50DE" w:rsidRPr="009660DC">
              <w:rPr>
                <w:rFonts w:cstheme="minorHAnsi"/>
                <w:sz w:val="18"/>
                <w:szCs w:val="18"/>
              </w:rPr>
              <w:t>social</w:t>
            </w:r>
            <w:proofErr w:type="gramEnd"/>
            <w:r w:rsidR="007B4A80" w:rsidRPr="009660DC">
              <w:rPr>
                <w:rFonts w:cstheme="minorHAnsi"/>
                <w:sz w:val="18"/>
                <w:szCs w:val="18"/>
              </w:rPr>
              <w:t xml:space="preserve"> and human rights related</w:t>
            </w:r>
            <w:r w:rsidR="004271D5" w:rsidRPr="009660DC">
              <w:rPr>
                <w:rFonts w:cstheme="minorHAnsi"/>
                <w:sz w:val="18"/>
                <w:szCs w:val="18"/>
              </w:rPr>
              <w:t>). Issuers with lowest ratings or which exhibit high adverse impact across several indicators, may be subject to further analysis and potential exclusions.</w:t>
            </w:r>
          </w:p>
        </w:tc>
      </w:tr>
      <w:tr w:rsidR="00EE150C" w:rsidRPr="009660DC" w14:paraId="61C29E8C" w14:textId="77777777" w:rsidTr="00144F39">
        <w:tc>
          <w:tcPr>
            <w:tcW w:w="2171" w:type="dxa"/>
          </w:tcPr>
          <w:p w14:paraId="2A16927D" w14:textId="77777777" w:rsidR="00EE150C" w:rsidRPr="009660DC" w:rsidRDefault="00EE150C" w:rsidP="0013353A">
            <w:pPr>
              <w:rPr>
                <w:rFonts w:cstheme="minorHAnsi"/>
                <w:sz w:val="18"/>
                <w:szCs w:val="18"/>
              </w:rPr>
            </w:pPr>
          </w:p>
        </w:tc>
        <w:tc>
          <w:tcPr>
            <w:tcW w:w="2124" w:type="dxa"/>
          </w:tcPr>
          <w:p w14:paraId="3EFE7FC8" w14:textId="26446330" w:rsidR="00EE150C" w:rsidRPr="009660DC" w:rsidRDefault="00EE150C" w:rsidP="0013353A">
            <w:pPr>
              <w:rPr>
                <w:rFonts w:cstheme="minorHAnsi"/>
                <w:sz w:val="18"/>
                <w:szCs w:val="18"/>
              </w:rPr>
            </w:pPr>
            <w:r w:rsidRPr="009660DC">
              <w:rPr>
                <w:rFonts w:cstheme="minorHAnsi"/>
                <w:sz w:val="18"/>
                <w:szCs w:val="18"/>
              </w:rPr>
              <w:t xml:space="preserve">11. Lack of </w:t>
            </w:r>
            <w:r w:rsidRPr="009660DC">
              <w:rPr>
                <w:rFonts w:cstheme="minorHAnsi"/>
                <w:noProof/>
                <w:color w:val="000000"/>
              </w:rPr>
              <w:t xml:space="preserve">processes and compliance mechanisms to monitor compliance with UN Global </w:t>
            </w:r>
            <w:r w:rsidRPr="009660DC">
              <w:rPr>
                <w:rFonts w:cstheme="minorHAnsi"/>
                <w:noProof/>
                <w:color w:val="000000"/>
              </w:rPr>
              <w:lastRenderedPageBreak/>
              <w:t>Compact principles and OECD Guidelines for Multinational Enterprises</w:t>
            </w:r>
            <w:r w:rsidRPr="009660DC">
              <w:rPr>
                <w:rFonts w:cstheme="minorHAnsi"/>
                <w:sz w:val="18"/>
                <w:szCs w:val="18"/>
              </w:rPr>
              <w:t xml:space="preserve"> </w:t>
            </w:r>
          </w:p>
        </w:tc>
        <w:tc>
          <w:tcPr>
            <w:tcW w:w="2172" w:type="dxa"/>
          </w:tcPr>
          <w:p w14:paraId="4478E23D" w14:textId="1C3FA63E" w:rsidR="00EE150C" w:rsidRPr="009660DC" w:rsidRDefault="00EE150C" w:rsidP="0013353A">
            <w:pPr>
              <w:rPr>
                <w:rFonts w:cstheme="minorHAnsi"/>
                <w:sz w:val="18"/>
                <w:szCs w:val="18"/>
              </w:rPr>
            </w:pPr>
            <w:r w:rsidRPr="009660DC">
              <w:rPr>
                <w:rFonts w:cstheme="minorHAnsi"/>
                <w:noProof/>
                <w:color w:val="000000"/>
              </w:rPr>
              <w:lastRenderedPageBreak/>
              <w:t xml:space="preserve">Share of investments in investee companies without policies to monitor compliance </w:t>
            </w:r>
            <w:r w:rsidRPr="009660DC">
              <w:rPr>
                <w:rFonts w:cstheme="minorHAnsi"/>
                <w:noProof/>
                <w:color w:val="000000"/>
              </w:rPr>
              <w:lastRenderedPageBreak/>
              <w:t>with the UNGC principles or OECD Guidelines for Multinational Enterprises or grievance /complaints handling mechanisms to address violations of the UNGC principles or OECD Guidelines for Multinational Enterprises</w:t>
            </w:r>
          </w:p>
        </w:tc>
        <w:tc>
          <w:tcPr>
            <w:tcW w:w="1735" w:type="dxa"/>
          </w:tcPr>
          <w:p w14:paraId="036B2B3C" w14:textId="6E21A1F1" w:rsidR="00EE150C" w:rsidRPr="009660DC" w:rsidRDefault="00EE150C" w:rsidP="0013353A">
            <w:pPr>
              <w:rPr>
                <w:rFonts w:cstheme="minorHAnsi"/>
                <w:sz w:val="18"/>
                <w:szCs w:val="18"/>
              </w:rPr>
            </w:pPr>
            <w:r w:rsidRPr="009660DC">
              <w:rPr>
                <w:rFonts w:cstheme="minorHAnsi"/>
                <w:sz w:val="18"/>
                <w:szCs w:val="18"/>
              </w:rPr>
              <w:lastRenderedPageBreak/>
              <w:t>0,0%</w:t>
            </w:r>
          </w:p>
        </w:tc>
        <w:tc>
          <w:tcPr>
            <w:tcW w:w="1721" w:type="dxa"/>
          </w:tcPr>
          <w:p w14:paraId="6C8C1C0B" w14:textId="272EC1EF" w:rsidR="00EE150C" w:rsidRPr="009660DC" w:rsidRDefault="00EE150C" w:rsidP="0013353A">
            <w:pPr>
              <w:rPr>
                <w:rFonts w:cstheme="minorHAnsi"/>
                <w:sz w:val="18"/>
                <w:szCs w:val="18"/>
              </w:rPr>
            </w:pPr>
            <w:r w:rsidRPr="009660DC">
              <w:rPr>
                <w:rFonts w:cstheme="minorHAnsi"/>
                <w:sz w:val="18"/>
                <w:szCs w:val="18"/>
              </w:rPr>
              <w:t>No data</w:t>
            </w:r>
          </w:p>
        </w:tc>
        <w:tc>
          <w:tcPr>
            <w:tcW w:w="1485" w:type="dxa"/>
          </w:tcPr>
          <w:p w14:paraId="561CC2B0" w14:textId="08272E6A" w:rsidR="00EE150C" w:rsidRPr="009660DC" w:rsidRDefault="00EE150C" w:rsidP="0013353A">
            <w:pPr>
              <w:rPr>
                <w:rFonts w:cstheme="minorHAnsi"/>
                <w:sz w:val="18"/>
                <w:szCs w:val="18"/>
              </w:rPr>
            </w:pPr>
            <w:r w:rsidRPr="009660DC">
              <w:rPr>
                <w:rFonts w:cstheme="minorHAnsi"/>
                <w:sz w:val="18"/>
                <w:szCs w:val="18"/>
              </w:rPr>
              <w:t>N/A</w:t>
            </w:r>
          </w:p>
        </w:tc>
        <w:tc>
          <w:tcPr>
            <w:tcW w:w="3153" w:type="dxa"/>
            <w:vMerge/>
          </w:tcPr>
          <w:p w14:paraId="2865BAF9" w14:textId="77777777" w:rsidR="00EE150C" w:rsidRPr="009660DC" w:rsidRDefault="00EE150C" w:rsidP="0013353A">
            <w:pPr>
              <w:rPr>
                <w:rFonts w:cstheme="minorHAnsi"/>
                <w:sz w:val="18"/>
                <w:szCs w:val="18"/>
              </w:rPr>
            </w:pPr>
          </w:p>
        </w:tc>
      </w:tr>
      <w:tr w:rsidR="00EE150C" w:rsidRPr="009660DC" w14:paraId="5090E890" w14:textId="77777777" w:rsidTr="00144F39">
        <w:tc>
          <w:tcPr>
            <w:tcW w:w="2171" w:type="dxa"/>
          </w:tcPr>
          <w:p w14:paraId="563A176B" w14:textId="77777777" w:rsidR="00EE150C" w:rsidRPr="009660DC" w:rsidRDefault="00EE150C" w:rsidP="0013353A">
            <w:pPr>
              <w:rPr>
                <w:rFonts w:cstheme="minorHAnsi"/>
                <w:sz w:val="18"/>
                <w:szCs w:val="18"/>
              </w:rPr>
            </w:pPr>
          </w:p>
        </w:tc>
        <w:tc>
          <w:tcPr>
            <w:tcW w:w="2124" w:type="dxa"/>
          </w:tcPr>
          <w:p w14:paraId="0DA138C5" w14:textId="4B23AD72" w:rsidR="00EE150C" w:rsidRPr="009660DC" w:rsidRDefault="00EE150C" w:rsidP="0013353A">
            <w:pPr>
              <w:rPr>
                <w:rFonts w:cstheme="minorHAnsi"/>
                <w:sz w:val="18"/>
                <w:szCs w:val="18"/>
              </w:rPr>
            </w:pPr>
            <w:r w:rsidRPr="009660DC">
              <w:rPr>
                <w:rFonts w:cstheme="minorHAnsi"/>
                <w:sz w:val="18"/>
                <w:szCs w:val="18"/>
              </w:rPr>
              <w:t>12. U</w:t>
            </w:r>
            <w:r w:rsidRPr="009660DC">
              <w:rPr>
                <w:rFonts w:cstheme="minorHAnsi"/>
                <w:noProof/>
              </w:rPr>
              <w:t>nadjusted gender pay gap</w:t>
            </w:r>
          </w:p>
        </w:tc>
        <w:tc>
          <w:tcPr>
            <w:tcW w:w="2172" w:type="dxa"/>
          </w:tcPr>
          <w:p w14:paraId="7D0B8952" w14:textId="488BFB81" w:rsidR="00EE150C" w:rsidRPr="009660DC" w:rsidRDefault="00EE150C" w:rsidP="0013353A">
            <w:pPr>
              <w:rPr>
                <w:rFonts w:cstheme="minorHAnsi"/>
                <w:sz w:val="18"/>
                <w:szCs w:val="18"/>
              </w:rPr>
            </w:pPr>
            <w:r w:rsidRPr="009660DC">
              <w:rPr>
                <w:rFonts w:cstheme="minorHAnsi"/>
                <w:noProof/>
              </w:rPr>
              <w:t>Average unadjusted gender pay gap of investee companies</w:t>
            </w:r>
          </w:p>
        </w:tc>
        <w:tc>
          <w:tcPr>
            <w:tcW w:w="1735" w:type="dxa"/>
          </w:tcPr>
          <w:p w14:paraId="1CAFF746" w14:textId="62E6D040" w:rsidR="00EE150C" w:rsidRPr="009660DC" w:rsidRDefault="00EE150C" w:rsidP="0013353A">
            <w:pPr>
              <w:rPr>
                <w:rFonts w:cstheme="minorHAnsi"/>
                <w:sz w:val="18"/>
                <w:szCs w:val="18"/>
              </w:rPr>
            </w:pPr>
            <w:r w:rsidRPr="009660DC">
              <w:rPr>
                <w:rFonts w:cstheme="minorHAnsi"/>
                <w:sz w:val="18"/>
                <w:szCs w:val="18"/>
              </w:rPr>
              <w:t>18,4%</w:t>
            </w:r>
          </w:p>
        </w:tc>
        <w:tc>
          <w:tcPr>
            <w:tcW w:w="1721" w:type="dxa"/>
          </w:tcPr>
          <w:p w14:paraId="3EA011FD" w14:textId="568B6FE4" w:rsidR="00EE150C" w:rsidRPr="009660DC" w:rsidRDefault="00EE150C" w:rsidP="0013353A">
            <w:pPr>
              <w:rPr>
                <w:rFonts w:cstheme="minorHAnsi"/>
                <w:sz w:val="18"/>
                <w:szCs w:val="18"/>
              </w:rPr>
            </w:pPr>
            <w:r w:rsidRPr="009660DC">
              <w:rPr>
                <w:rFonts w:cstheme="minorHAnsi"/>
                <w:sz w:val="18"/>
                <w:szCs w:val="18"/>
              </w:rPr>
              <w:t>No data</w:t>
            </w:r>
          </w:p>
        </w:tc>
        <w:tc>
          <w:tcPr>
            <w:tcW w:w="1485" w:type="dxa"/>
          </w:tcPr>
          <w:p w14:paraId="1DDEF2D9" w14:textId="6D225922" w:rsidR="00EE150C" w:rsidRPr="009660DC" w:rsidRDefault="00EE150C" w:rsidP="0013353A">
            <w:pPr>
              <w:rPr>
                <w:rFonts w:cstheme="minorHAnsi"/>
                <w:sz w:val="18"/>
                <w:szCs w:val="18"/>
              </w:rPr>
            </w:pPr>
            <w:r w:rsidRPr="009660DC">
              <w:rPr>
                <w:rFonts w:cstheme="minorHAnsi"/>
                <w:sz w:val="18"/>
                <w:szCs w:val="18"/>
              </w:rPr>
              <w:t>N/A</w:t>
            </w:r>
          </w:p>
        </w:tc>
        <w:tc>
          <w:tcPr>
            <w:tcW w:w="3153" w:type="dxa"/>
            <w:vMerge/>
          </w:tcPr>
          <w:p w14:paraId="0D1743CE" w14:textId="77777777" w:rsidR="00EE150C" w:rsidRPr="009660DC" w:rsidRDefault="00EE150C" w:rsidP="0013353A">
            <w:pPr>
              <w:rPr>
                <w:rFonts w:cstheme="minorHAnsi"/>
                <w:sz w:val="18"/>
                <w:szCs w:val="18"/>
              </w:rPr>
            </w:pPr>
          </w:p>
        </w:tc>
      </w:tr>
      <w:tr w:rsidR="00EE150C" w:rsidRPr="009660DC" w14:paraId="303157BB" w14:textId="77777777" w:rsidTr="00144F39">
        <w:tc>
          <w:tcPr>
            <w:tcW w:w="2171" w:type="dxa"/>
          </w:tcPr>
          <w:p w14:paraId="37363FD0" w14:textId="77777777" w:rsidR="00EE150C" w:rsidRPr="009660DC" w:rsidRDefault="00EE150C" w:rsidP="0013353A">
            <w:pPr>
              <w:rPr>
                <w:rFonts w:cstheme="minorHAnsi"/>
                <w:sz w:val="18"/>
                <w:szCs w:val="18"/>
              </w:rPr>
            </w:pPr>
          </w:p>
        </w:tc>
        <w:tc>
          <w:tcPr>
            <w:tcW w:w="2124" w:type="dxa"/>
          </w:tcPr>
          <w:p w14:paraId="373AE5B4" w14:textId="4996E57E" w:rsidR="00EE150C" w:rsidRPr="009660DC" w:rsidRDefault="00EE150C" w:rsidP="0013353A">
            <w:pPr>
              <w:rPr>
                <w:rFonts w:cstheme="minorHAnsi"/>
                <w:sz w:val="18"/>
                <w:szCs w:val="18"/>
              </w:rPr>
            </w:pPr>
            <w:r w:rsidRPr="009660DC">
              <w:rPr>
                <w:rFonts w:cstheme="minorHAnsi"/>
                <w:sz w:val="18"/>
                <w:szCs w:val="18"/>
              </w:rPr>
              <w:t xml:space="preserve">13. </w:t>
            </w:r>
            <w:r w:rsidRPr="009660DC">
              <w:rPr>
                <w:rFonts w:cstheme="minorHAnsi"/>
                <w:noProof/>
              </w:rPr>
              <w:t>Board gender diversity</w:t>
            </w:r>
          </w:p>
        </w:tc>
        <w:tc>
          <w:tcPr>
            <w:tcW w:w="2172" w:type="dxa"/>
          </w:tcPr>
          <w:p w14:paraId="698B0DBE" w14:textId="1CC5C8D4" w:rsidR="00EE150C" w:rsidRPr="009660DC" w:rsidRDefault="00EE150C" w:rsidP="0013353A">
            <w:pPr>
              <w:rPr>
                <w:rFonts w:cstheme="minorHAnsi"/>
                <w:sz w:val="18"/>
                <w:szCs w:val="18"/>
              </w:rPr>
            </w:pPr>
            <w:r w:rsidRPr="009660DC">
              <w:rPr>
                <w:rFonts w:cstheme="minorHAnsi"/>
                <w:noProof/>
              </w:rPr>
              <w:t>Average ratio of female to male board members in investee companies, expressed as a percentage of all board members</w:t>
            </w:r>
          </w:p>
        </w:tc>
        <w:tc>
          <w:tcPr>
            <w:tcW w:w="1735" w:type="dxa"/>
          </w:tcPr>
          <w:p w14:paraId="438D1660" w14:textId="7FF97058" w:rsidR="00EE150C" w:rsidRPr="009660DC" w:rsidRDefault="00EE150C" w:rsidP="0013353A">
            <w:pPr>
              <w:rPr>
                <w:rFonts w:cstheme="minorHAnsi"/>
                <w:sz w:val="18"/>
                <w:szCs w:val="18"/>
              </w:rPr>
            </w:pPr>
            <w:r w:rsidRPr="009660DC">
              <w:rPr>
                <w:rFonts w:cstheme="minorHAnsi"/>
                <w:sz w:val="18"/>
                <w:szCs w:val="18"/>
              </w:rPr>
              <w:t>36,5%</w:t>
            </w:r>
          </w:p>
        </w:tc>
        <w:tc>
          <w:tcPr>
            <w:tcW w:w="1721" w:type="dxa"/>
          </w:tcPr>
          <w:p w14:paraId="169B2CAF" w14:textId="491A54AA" w:rsidR="00EE150C" w:rsidRPr="009660DC" w:rsidRDefault="00EE150C" w:rsidP="0013353A">
            <w:pPr>
              <w:rPr>
                <w:rFonts w:cstheme="minorHAnsi"/>
                <w:sz w:val="18"/>
                <w:szCs w:val="18"/>
              </w:rPr>
            </w:pPr>
            <w:r w:rsidRPr="009660DC">
              <w:rPr>
                <w:rFonts w:cstheme="minorHAnsi"/>
                <w:sz w:val="18"/>
                <w:szCs w:val="18"/>
              </w:rPr>
              <w:t>No data</w:t>
            </w:r>
          </w:p>
        </w:tc>
        <w:tc>
          <w:tcPr>
            <w:tcW w:w="1485" w:type="dxa"/>
          </w:tcPr>
          <w:p w14:paraId="5A0DF650" w14:textId="59C264DC" w:rsidR="00EE150C" w:rsidRPr="009660DC" w:rsidRDefault="00EE150C" w:rsidP="0013353A">
            <w:pPr>
              <w:rPr>
                <w:rFonts w:cstheme="minorHAnsi"/>
                <w:sz w:val="18"/>
                <w:szCs w:val="18"/>
              </w:rPr>
            </w:pPr>
            <w:r w:rsidRPr="009660DC">
              <w:rPr>
                <w:rFonts w:cstheme="minorHAnsi"/>
                <w:sz w:val="18"/>
                <w:szCs w:val="18"/>
              </w:rPr>
              <w:t>N/A</w:t>
            </w:r>
          </w:p>
        </w:tc>
        <w:tc>
          <w:tcPr>
            <w:tcW w:w="3153" w:type="dxa"/>
            <w:vMerge/>
          </w:tcPr>
          <w:p w14:paraId="64AF3280" w14:textId="77777777" w:rsidR="00EE150C" w:rsidRPr="009660DC" w:rsidRDefault="00EE150C" w:rsidP="0013353A">
            <w:pPr>
              <w:rPr>
                <w:rFonts w:cstheme="minorHAnsi"/>
                <w:sz w:val="18"/>
                <w:szCs w:val="18"/>
              </w:rPr>
            </w:pPr>
          </w:p>
        </w:tc>
      </w:tr>
      <w:tr w:rsidR="00EE150C" w:rsidRPr="009660DC" w14:paraId="06B791D4" w14:textId="77777777" w:rsidTr="00144F39">
        <w:tc>
          <w:tcPr>
            <w:tcW w:w="2171" w:type="dxa"/>
          </w:tcPr>
          <w:p w14:paraId="43E11CE0" w14:textId="77777777" w:rsidR="00EE150C" w:rsidRPr="009660DC" w:rsidRDefault="00EE150C" w:rsidP="0013353A">
            <w:pPr>
              <w:rPr>
                <w:rFonts w:cstheme="minorHAnsi"/>
                <w:sz w:val="18"/>
                <w:szCs w:val="18"/>
              </w:rPr>
            </w:pPr>
          </w:p>
        </w:tc>
        <w:tc>
          <w:tcPr>
            <w:tcW w:w="2124" w:type="dxa"/>
          </w:tcPr>
          <w:p w14:paraId="2E1D84EF" w14:textId="79402C6D" w:rsidR="00EE150C" w:rsidRPr="009660DC" w:rsidRDefault="00EE150C" w:rsidP="0013353A">
            <w:pPr>
              <w:rPr>
                <w:rFonts w:cstheme="minorHAnsi"/>
                <w:sz w:val="18"/>
                <w:szCs w:val="18"/>
              </w:rPr>
            </w:pPr>
            <w:r w:rsidRPr="009660DC">
              <w:rPr>
                <w:rFonts w:cstheme="minorHAnsi"/>
                <w:sz w:val="18"/>
                <w:szCs w:val="18"/>
              </w:rPr>
              <w:t xml:space="preserve">14. </w:t>
            </w:r>
            <w:r w:rsidRPr="009660DC">
              <w:rPr>
                <w:rFonts w:cstheme="minorHAnsi"/>
                <w:noProof/>
              </w:rPr>
              <w:t>Exposure to controversial weapons (anti-personnel mines, cluster munitions, chemical weapons and biological weapons)</w:t>
            </w:r>
          </w:p>
        </w:tc>
        <w:tc>
          <w:tcPr>
            <w:tcW w:w="2172" w:type="dxa"/>
          </w:tcPr>
          <w:p w14:paraId="3D818A35" w14:textId="531DAC0A" w:rsidR="00EE150C" w:rsidRPr="009660DC" w:rsidRDefault="00EE150C" w:rsidP="0013353A">
            <w:pPr>
              <w:rPr>
                <w:rFonts w:cstheme="minorHAnsi"/>
                <w:sz w:val="18"/>
                <w:szCs w:val="18"/>
              </w:rPr>
            </w:pPr>
            <w:r w:rsidRPr="009660DC">
              <w:rPr>
                <w:rFonts w:cstheme="minorHAnsi"/>
                <w:noProof/>
              </w:rPr>
              <w:t>Share of investments in investee companies involved in the manufacture or selling of controversial weapons</w:t>
            </w:r>
          </w:p>
        </w:tc>
        <w:tc>
          <w:tcPr>
            <w:tcW w:w="1735" w:type="dxa"/>
          </w:tcPr>
          <w:p w14:paraId="0A458286" w14:textId="44AA5D23" w:rsidR="00EE150C" w:rsidRPr="009660DC" w:rsidRDefault="00EE150C" w:rsidP="0013353A">
            <w:pPr>
              <w:rPr>
                <w:rFonts w:cstheme="minorHAnsi"/>
                <w:sz w:val="18"/>
                <w:szCs w:val="18"/>
              </w:rPr>
            </w:pPr>
            <w:r w:rsidRPr="009660DC">
              <w:rPr>
                <w:rFonts w:cstheme="minorHAnsi"/>
                <w:sz w:val="18"/>
                <w:szCs w:val="18"/>
              </w:rPr>
              <w:t>0,0%</w:t>
            </w:r>
          </w:p>
        </w:tc>
        <w:tc>
          <w:tcPr>
            <w:tcW w:w="1721" w:type="dxa"/>
          </w:tcPr>
          <w:p w14:paraId="2D9FF4BD" w14:textId="7D67717D" w:rsidR="00EE150C" w:rsidRPr="009660DC" w:rsidRDefault="00EE150C" w:rsidP="0013353A">
            <w:pPr>
              <w:rPr>
                <w:rFonts w:cstheme="minorHAnsi"/>
                <w:sz w:val="18"/>
                <w:szCs w:val="18"/>
              </w:rPr>
            </w:pPr>
            <w:r w:rsidRPr="009660DC">
              <w:rPr>
                <w:rFonts w:cstheme="minorHAnsi"/>
                <w:sz w:val="18"/>
                <w:szCs w:val="18"/>
              </w:rPr>
              <w:t>No data</w:t>
            </w:r>
          </w:p>
        </w:tc>
        <w:tc>
          <w:tcPr>
            <w:tcW w:w="1485" w:type="dxa"/>
          </w:tcPr>
          <w:p w14:paraId="6C7CB632" w14:textId="11A44156" w:rsidR="00EE150C" w:rsidRPr="009660DC" w:rsidRDefault="00EE150C" w:rsidP="0013353A">
            <w:pPr>
              <w:rPr>
                <w:rFonts w:cstheme="minorHAnsi"/>
                <w:sz w:val="18"/>
                <w:szCs w:val="18"/>
              </w:rPr>
            </w:pPr>
            <w:r w:rsidRPr="009660DC">
              <w:rPr>
                <w:rFonts w:cstheme="minorHAnsi"/>
                <w:sz w:val="18"/>
                <w:szCs w:val="18"/>
              </w:rPr>
              <w:t>N/A</w:t>
            </w:r>
          </w:p>
        </w:tc>
        <w:tc>
          <w:tcPr>
            <w:tcW w:w="3153" w:type="dxa"/>
            <w:vMerge/>
          </w:tcPr>
          <w:p w14:paraId="07669D92" w14:textId="77777777" w:rsidR="00EE150C" w:rsidRPr="009660DC" w:rsidRDefault="00EE150C" w:rsidP="0013353A">
            <w:pPr>
              <w:rPr>
                <w:rFonts w:cstheme="minorHAnsi"/>
                <w:sz w:val="18"/>
                <w:szCs w:val="18"/>
              </w:rPr>
            </w:pPr>
          </w:p>
        </w:tc>
      </w:tr>
    </w:tbl>
    <w:p w14:paraId="3B979662" w14:textId="77777777" w:rsidR="00F4562B" w:rsidRPr="009660DC" w:rsidRDefault="00F4562B" w:rsidP="000354A5">
      <w:pPr>
        <w:keepNext/>
        <w:jc w:val="center"/>
        <w:rPr>
          <w:b/>
          <w:noProof/>
        </w:rPr>
      </w:pPr>
      <w:r w:rsidRPr="009660DC">
        <w:rPr>
          <w:b/>
          <w:noProof/>
        </w:rPr>
        <w:lastRenderedPageBreak/>
        <w:t>Indicators applicable to investments in sovereigns and supranationals</w:t>
      </w:r>
    </w:p>
    <w:p w14:paraId="18CDDD64" w14:textId="77777777" w:rsidR="00C33A8A" w:rsidRPr="009660DC" w:rsidRDefault="00C33A8A" w:rsidP="000354A5">
      <w:pPr>
        <w:keepNext/>
        <w:jc w:val="both"/>
        <w:rPr>
          <w:rFonts w:ascii="FS Me" w:hAnsi="FS Me"/>
          <w:sz w:val="22"/>
        </w:rPr>
      </w:pPr>
    </w:p>
    <w:tbl>
      <w:tblPr>
        <w:tblStyle w:val="TableGrid"/>
        <w:tblW w:w="0" w:type="auto"/>
        <w:tblLook w:val="04A0" w:firstRow="1" w:lastRow="0" w:firstColumn="1" w:lastColumn="0" w:noHBand="0" w:noVBand="1"/>
      </w:tblPr>
      <w:tblGrid>
        <w:gridCol w:w="2306"/>
        <w:gridCol w:w="2157"/>
        <w:gridCol w:w="2333"/>
        <w:gridCol w:w="1924"/>
        <w:gridCol w:w="1925"/>
        <w:gridCol w:w="1407"/>
        <w:gridCol w:w="2509"/>
      </w:tblGrid>
      <w:tr w:rsidR="008B0B1E" w:rsidRPr="009660DC" w14:paraId="16442AF1" w14:textId="77777777" w:rsidTr="004271D5">
        <w:tc>
          <w:tcPr>
            <w:tcW w:w="4473" w:type="dxa"/>
            <w:gridSpan w:val="2"/>
          </w:tcPr>
          <w:p w14:paraId="493C9925" w14:textId="1FD18699" w:rsidR="001216F4" w:rsidRPr="009660DC" w:rsidRDefault="00B463F0" w:rsidP="00D23CE4">
            <w:pPr>
              <w:rPr>
                <w:rFonts w:ascii="FS Me" w:hAnsi="FS Me"/>
                <w:b/>
                <w:sz w:val="18"/>
                <w:szCs w:val="18"/>
              </w:rPr>
            </w:pPr>
            <w:r w:rsidRPr="009660DC">
              <w:rPr>
                <w:b/>
                <w:noProof/>
              </w:rPr>
              <w:t>Adverse sustainability indicator</w:t>
            </w:r>
          </w:p>
          <w:p w14:paraId="7EF37557" w14:textId="268B0B22" w:rsidR="001216F4" w:rsidRPr="009660DC" w:rsidRDefault="001216F4" w:rsidP="00D23CE4">
            <w:pPr>
              <w:rPr>
                <w:rFonts w:ascii="FS Me" w:hAnsi="FS Me"/>
                <w:b/>
                <w:sz w:val="18"/>
                <w:szCs w:val="18"/>
              </w:rPr>
            </w:pPr>
          </w:p>
        </w:tc>
        <w:tc>
          <w:tcPr>
            <w:tcW w:w="2338" w:type="dxa"/>
          </w:tcPr>
          <w:p w14:paraId="5CE99080" w14:textId="246D54F1" w:rsidR="001216F4" w:rsidRPr="009660DC" w:rsidRDefault="00B463F0" w:rsidP="00D23CE4">
            <w:pPr>
              <w:rPr>
                <w:rFonts w:ascii="FS Me" w:hAnsi="FS Me"/>
                <w:b/>
                <w:sz w:val="18"/>
                <w:szCs w:val="18"/>
              </w:rPr>
            </w:pPr>
            <w:r w:rsidRPr="009660DC">
              <w:rPr>
                <w:b/>
                <w:noProof/>
              </w:rPr>
              <w:t>Metric</w:t>
            </w:r>
          </w:p>
        </w:tc>
        <w:tc>
          <w:tcPr>
            <w:tcW w:w="1930" w:type="dxa"/>
          </w:tcPr>
          <w:p w14:paraId="5FBDEDA6" w14:textId="3B7C8967" w:rsidR="001216F4" w:rsidRPr="009660DC" w:rsidRDefault="00B463F0" w:rsidP="00D23CE4">
            <w:pPr>
              <w:rPr>
                <w:rFonts w:ascii="FS Me" w:hAnsi="FS Me"/>
                <w:b/>
                <w:sz w:val="18"/>
                <w:szCs w:val="18"/>
              </w:rPr>
            </w:pPr>
            <w:r w:rsidRPr="009660DC">
              <w:rPr>
                <w:b/>
                <w:noProof/>
              </w:rPr>
              <w:t>Impact</w:t>
            </w:r>
            <w:r w:rsidR="001216F4" w:rsidRPr="009660DC">
              <w:rPr>
                <w:rFonts w:ascii="FS Me" w:hAnsi="FS Me"/>
                <w:b/>
                <w:sz w:val="18"/>
                <w:szCs w:val="18"/>
              </w:rPr>
              <w:t xml:space="preserve"> 2022</w:t>
            </w:r>
          </w:p>
        </w:tc>
        <w:tc>
          <w:tcPr>
            <w:tcW w:w="1931" w:type="dxa"/>
          </w:tcPr>
          <w:p w14:paraId="07596F1F" w14:textId="024B40BC" w:rsidR="001216F4" w:rsidRPr="009660DC" w:rsidRDefault="00B463F0" w:rsidP="00D23CE4">
            <w:pPr>
              <w:rPr>
                <w:rFonts w:ascii="FS Me" w:hAnsi="FS Me"/>
                <w:b/>
                <w:sz w:val="18"/>
                <w:szCs w:val="18"/>
              </w:rPr>
            </w:pPr>
            <w:r w:rsidRPr="009660DC">
              <w:rPr>
                <w:b/>
                <w:noProof/>
              </w:rPr>
              <w:t>Impact</w:t>
            </w:r>
            <w:r w:rsidR="001216F4" w:rsidRPr="009660DC">
              <w:rPr>
                <w:rFonts w:ascii="FS Me" w:hAnsi="FS Me"/>
                <w:b/>
                <w:sz w:val="18"/>
                <w:szCs w:val="18"/>
              </w:rPr>
              <w:t xml:space="preserve"> 2021</w:t>
            </w:r>
          </w:p>
        </w:tc>
        <w:tc>
          <w:tcPr>
            <w:tcW w:w="1372" w:type="dxa"/>
          </w:tcPr>
          <w:p w14:paraId="0D08ABF7" w14:textId="2F9BC095" w:rsidR="001216F4" w:rsidRPr="009660DC" w:rsidRDefault="00B463F0" w:rsidP="00D23CE4">
            <w:pPr>
              <w:rPr>
                <w:rFonts w:ascii="FS Me" w:hAnsi="FS Me"/>
                <w:b/>
                <w:sz w:val="18"/>
                <w:szCs w:val="18"/>
              </w:rPr>
            </w:pPr>
            <w:r w:rsidRPr="009660DC">
              <w:rPr>
                <w:b/>
                <w:noProof/>
              </w:rPr>
              <w:t>Explanati</w:t>
            </w:r>
            <w:r w:rsidR="0013353A" w:rsidRPr="009660DC">
              <w:rPr>
                <w:b/>
                <w:noProof/>
              </w:rPr>
              <w:t>on</w:t>
            </w:r>
          </w:p>
        </w:tc>
        <w:tc>
          <w:tcPr>
            <w:tcW w:w="2517" w:type="dxa"/>
          </w:tcPr>
          <w:p w14:paraId="20B9E2F2" w14:textId="3CBDAA2E" w:rsidR="001216F4" w:rsidRPr="009660DC" w:rsidRDefault="00B463F0" w:rsidP="00D23CE4">
            <w:pPr>
              <w:rPr>
                <w:rFonts w:ascii="FS Me" w:hAnsi="FS Me"/>
                <w:b/>
                <w:sz w:val="18"/>
                <w:szCs w:val="18"/>
              </w:rPr>
            </w:pPr>
            <w:r w:rsidRPr="009660DC">
              <w:rPr>
                <w:b/>
                <w:noProof/>
              </w:rPr>
              <w:t>Actions taken, and actions planned and targets set for the next reference period</w:t>
            </w:r>
          </w:p>
        </w:tc>
      </w:tr>
      <w:tr w:rsidR="008B0B1E" w:rsidRPr="009660DC" w14:paraId="49C1909E" w14:textId="77777777" w:rsidTr="004271D5">
        <w:tc>
          <w:tcPr>
            <w:tcW w:w="2310" w:type="dxa"/>
          </w:tcPr>
          <w:p w14:paraId="5D2A87B2" w14:textId="1D403A95" w:rsidR="0013353A" w:rsidRPr="009660DC" w:rsidRDefault="0013353A" w:rsidP="0013353A">
            <w:pPr>
              <w:rPr>
                <w:bCs/>
                <w:noProof/>
              </w:rPr>
            </w:pPr>
            <w:r w:rsidRPr="009660DC">
              <w:rPr>
                <w:bCs/>
                <w:noProof/>
              </w:rPr>
              <w:t>Environmental</w:t>
            </w:r>
          </w:p>
        </w:tc>
        <w:tc>
          <w:tcPr>
            <w:tcW w:w="2163" w:type="dxa"/>
          </w:tcPr>
          <w:p w14:paraId="43A49E2B" w14:textId="78FAEB00" w:rsidR="0013353A" w:rsidRPr="009660DC" w:rsidRDefault="0013353A" w:rsidP="0013353A">
            <w:pPr>
              <w:rPr>
                <w:bCs/>
                <w:noProof/>
              </w:rPr>
            </w:pPr>
            <w:r w:rsidRPr="009660DC">
              <w:rPr>
                <w:bCs/>
                <w:noProof/>
              </w:rPr>
              <w:t>15. GHG intensity</w:t>
            </w:r>
          </w:p>
        </w:tc>
        <w:tc>
          <w:tcPr>
            <w:tcW w:w="2338" w:type="dxa"/>
          </w:tcPr>
          <w:p w14:paraId="1D549DAE" w14:textId="1945A0AD" w:rsidR="0013353A" w:rsidRPr="009660DC" w:rsidRDefault="0013353A" w:rsidP="0013353A">
            <w:pPr>
              <w:rPr>
                <w:rFonts w:ascii="FS Me" w:hAnsi="FS Me"/>
                <w:sz w:val="18"/>
                <w:szCs w:val="18"/>
              </w:rPr>
            </w:pPr>
            <w:r w:rsidRPr="009660DC">
              <w:rPr>
                <w:noProof/>
              </w:rPr>
              <w:t>GHG intensity of investee countries</w:t>
            </w:r>
          </w:p>
        </w:tc>
        <w:tc>
          <w:tcPr>
            <w:tcW w:w="1930" w:type="dxa"/>
          </w:tcPr>
          <w:p w14:paraId="01706AEB" w14:textId="59FA800D" w:rsidR="0013353A" w:rsidRPr="009660DC" w:rsidRDefault="0013353A" w:rsidP="0013353A">
            <w:pPr>
              <w:rPr>
                <w:rFonts w:ascii="FS Me" w:hAnsi="FS Me"/>
                <w:sz w:val="18"/>
                <w:szCs w:val="18"/>
              </w:rPr>
            </w:pPr>
            <w:r w:rsidRPr="009660DC">
              <w:rPr>
                <w:rFonts w:ascii="FS Me" w:hAnsi="FS Me"/>
                <w:sz w:val="18"/>
                <w:szCs w:val="18"/>
              </w:rPr>
              <w:t>196,28 tCO2/m€ GDP</w:t>
            </w:r>
          </w:p>
        </w:tc>
        <w:tc>
          <w:tcPr>
            <w:tcW w:w="1931" w:type="dxa"/>
          </w:tcPr>
          <w:p w14:paraId="5231EFAE" w14:textId="545B9FF0" w:rsidR="0013353A" w:rsidRPr="009660DC" w:rsidRDefault="0013353A" w:rsidP="0013353A">
            <w:pPr>
              <w:rPr>
                <w:rFonts w:ascii="FS Me" w:hAnsi="FS Me"/>
                <w:sz w:val="18"/>
                <w:szCs w:val="18"/>
              </w:rPr>
            </w:pPr>
            <w:r w:rsidRPr="009660DC">
              <w:rPr>
                <w:rFonts w:ascii="FS Me" w:hAnsi="FS Me"/>
                <w:sz w:val="18"/>
                <w:szCs w:val="18"/>
              </w:rPr>
              <w:t>No data</w:t>
            </w:r>
          </w:p>
        </w:tc>
        <w:tc>
          <w:tcPr>
            <w:tcW w:w="1372" w:type="dxa"/>
          </w:tcPr>
          <w:p w14:paraId="60C4CD63" w14:textId="3B09FAF3" w:rsidR="0013353A" w:rsidRPr="009660DC" w:rsidRDefault="0013353A" w:rsidP="0013353A">
            <w:pPr>
              <w:rPr>
                <w:rFonts w:ascii="FS Me" w:hAnsi="FS Me"/>
                <w:sz w:val="18"/>
                <w:szCs w:val="18"/>
              </w:rPr>
            </w:pPr>
            <w:r w:rsidRPr="009660DC">
              <w:rPr>
                <w:rFonts w:cstheme="minorHAnsi"/>
                <w:sz w:val="18"/>
                <w:szCs w:val="18"/>
              </w:rPr>
              <w:t>N/A</w:t>
            </w:r>
          </w:p>
        </w:tc>
        <w:tc>
          <w:tcPr>
            <w:tcW w:w="2517" w:type="dxa"/>
          </w:tcPr>
          <w:p w14:paraId="79082D5F" w14:textId="750BF44C" w:rsidR="0013353A" w:rsidRPr="009660DC" w:rsidRDefault="005A3E95" w:rsidP="0013353A">
            <w:pPr>
              <w:rPr>
                <w:rFonts w:cstheme="minorHAnsi"/>
                <w:sz w:val="18"/>
                <w:szCs w:val="18"/>
              </w:rPr>
            </w:pPr>
            <w:r w:rsidRPr="009660DC">
              <w:rPr>
                <w:rFonts w:cstheme="minorHAnsi"/>
                <w:sz w:val="18"/>
                <w:szCs w:val="18"/>
              </w:rPr>
              <w:t>Please refer to comment</w:t>
            </w:r>
            <w:r w:rsidR="008B0B1E" w:rsidRPr="009660DC">
              <w:rPr>
                <w:rFonts w:cstheme="minorHAnsi"/>
                <w:sz w:val="18"/>
                <w:szCs w:val="18"/>
              </w:rPr>
              <w:t xml:space="preserve"> regarding environment</w:t>
            </w:r>
            <w:r w:rsidR="00E1747F" w:rsidRPr="009660DC">
              <w:rPr>
                <w:rFonts w:cstheme="minorHAnsi"/>
                <w:sz w:val="18"/>
                <w:szCs w:val="18"/>
              </w:rPr>
              <w:t>al</w:t>
            </w:r>
            <w:r w:rsidR="008B0B1E" w:rsidRPr="009660DC">
              <w:rPr>
                <w:rFonts w:cstheme="minorHAnsi"/>
                <w:sz w:val="18"/>
                <w:szCs w:val="18"/>
              </w:rPr>
              <w:t xml:space="preserve"> </w:t>
            </w:r>
            <w:r w:rsidRPr="009660DC">
              <w:rPr>
                <w:rFonts w:cstheme="minorHAnsi"/>
                <w:sz w:val="18"/>
                <w:szCs w:val="18"/>
              </w:rPr>
              <w:t>indicators 1-6</w:t>
            </w:r>
            <w:r w:rsidR="00E1747F" w:rsidRPr="009660DC">
              <w:rPr>
                <w:rFonts w:cstheme="minorHAnsi"/>
                <w:sz w:val="18"/>
                <w:szCs w:val="18"/>
              </w:rPr>
              <w:t xml:space="preserve"> in the table above</w:t>
            </w:r>
            <w:r w:rsidR="008B0B1E" w:rsidRPr="009660DC">
              <w:rPr>
                <w:rFonts w:cstheme="minorHAnsi"/>
                <w:sz w:val="18"/>
                <w:szCs w:val="18"/>
              </w:rPr>
              <w:t xml:space="preserve">, which also </w:t>
            </w:r>
            <w:r w:rsidR="00BD03C3" w:rsidRPr="009660DC">
              <w:rPr>
                <w:rFonts w:cstheme="minorHAnsi"/>
                <w:sz w:val="18"/>
                <w:szCs w:val="18"/>
              </w:rPr>
              <w:t>relates to</w:t>
            </w:r>
            <w:r w:rsidR="008B0B1E" w:rsidRPr="009660DC">
              <w:rPr>
                <w:rFonts w:cstheme="minorHAnsi"/>
                <w:sz w:val="18"/>
                <w:szCs w:val="18"/>
              </w:rPr>
              <w:t xml:space="preserve"> our investments in sovereigns and </w:t>
            </w:r>
            <w:proofErr w:type="spellStart"/>
            <w:r w:rsidR="008B0B1E" w:rsidRPr="009660DC">
              <w:rPr>
                <w:rFonts w:cstheme="minorHAnsi"/>
                <w:sz w:val="18"/>
                <w:szCs w:val="18"/>
              </w:rPr>
              <w:t>supranationals</w:t>
            </w:r>
            <w:proofErr w:type="spellEnd"/>
          </w:p>
        </w:tc>
      </w:tr>
      <w:tr w:rsidR="008B0B1E" w:rsidRPr="009660DC" w14:paraId="596FBFCD" w14:textId="77777777" w:rsidTr="004271D5">
        <w:tc>
          <w:tcPr>
            <w:tcW w:w="2310" w:type="dxa"/>
          </w:tcPr>
          <w:p w14:paraId="21D5E806" w14:textId="022C001C" w:rsidR="0013353A" w:rsidRPr="009660DC" w:rsidRDefault="0013353A" w:rsidP="0013353A">
            <w:pPr>
              <w:rPr>
                <w:bCs/>
                <w:noProof/>
              </w:rPr>
            </w:pPr>
            <w:r w:rsidRPr="009660DC">
              <w:rPr>
                <w:bCs/>
                <w:noProof/>
              </w:rPr>
              <w:t>Social</w:t>
            </w:r>
          </w:p>
        </w:tc>
        <w:tc>
          <w:tcPr>
            <w:tcW w:w="2163" w:type="dxa"/>
          </w:tcPr>
          <w:p w14:paraId="2632F3DD" w14:textId="7F772811" w:rsidR="0013353A" w:rsidRPr="009660DC" w:rsidRDefault="0013353A" w:rsidP="0013353A">
            <w:pPr>
              <w:rPr>
                <w:bCs/>
                <w:noProof/>
              </w:rPr>
            </w:pPr>
            <w:r w:rsidRPr="009660DC">
              <w:rPr>
                <w:bCs/>
                <w:noProof/>
              </w:rPr>
              <w:t>16. Investee countries subject to social violations</w:t>
            </w:r>
          </w:p>
        </w:tc>
        <w:tc>
          <w:tcPr>
            <w:tcW w:w="2338" w:type="dxa"/>
          </w:tcPr>
          <w:p w14:paraId="0BC23C48" w14:textId="407DACC8" w:rsidR="0013353A" w:rsidRPr="009660DC" w:rsidRDefault="0013353A" w:rsidP="0013353A">
            <w:pPr>
              <w:rPr>
                <w:rFonts w:ascii="FS Me" w:hAnsi="FS Me"/>
                <w:sz w:val="18"/>
                <w:szCs w:val="18"/>
              </w:rPr>
            </w:pPr>
            <w:r w:rsidRPr="009660DC">
              <w:rPr>
                <w:bCs/>
                <w:noProof/>
              </w:rPr>
              <w:t>Number of investee countries subject to social violations (absolute number and relative number divided by all investee countries), as referred to in international treaties and conventions, United Nations principles and, where applicable, national law</w:t>
            </w:r>
          </w:p>
        </w:tc>
        <w:tc>
          <w:tcPr>
            <w:tcW w:w="1930" w:type="dxa"/>
          </w:tcPr>
          <w:p w14:paraId="55D141E5" w14:textId="3821402D" w:rsidR="0013353A" w:rsidRPr="009660DC" w:rsidRDefault="0013353A" w:rsidP="0013353A">
            <w:pPr>
              <w:rPr>
                <w:rFonts w:ascii="FS Me" w:hAnsi="FS Me"/>
                <w:sz w:val="18"/>
                <w:szCs w:val="18"/>
              </w:rPr>
            </w:pPr>
            <w:r w:rsidRPr="009660DC">
              <w:rPr>
                <w:rFonts w:ascii="FS Me" w:hAnsi="FS Me"/>
                <w:sz w:val="18"/>
                <w:szCs w:val="18"/>
              </w:rPr>
              <w:t>0</w:t>
            </w:r>
          </w:p>
        </w:tc>
        <w:tc>
          <w:tcPr>
            <w:tcW w:w="1931" w:type="dxa"/>
          </w:tcPr>
          <w:p w14:paraId="358F4536" w14:textId="39CB5F04" w:rsidR="0013353A" w:rsidRPr="009660DC" w:rsidRDefault="0013353A" w:rsidP="0013353A">
            <w:pPr>
              <w:rPr>
                <w:rFonts w:ascii="FS Me" w:hAnsi="FS Me"/>
                <w:sz w:val="18"/>
                <w:szCs w:val="18"/>
              </w:rPr>
            </w:pPr>
            <w:r w:rsidRPr="009660DC">
              <w:rPr>
                <w:rFonts w:ascii="FS Me" w:hAnsi="FS Me"/>
                <w:sz w:val="18"/>
                <w:szCs w:val="18"/>
              </w:rPr>
              <w:t>No data</w:t>
            </w:r>
          </w:p>
        </w:tc>
        <w:tc>
          <w:tcPr>
            <w:tcW w:w="1372" w:type="dxa"/>
          </w:tcPr>
          <w:p w14:paraId="545F0527" w14:textId="08ED1286" w:rsidR="0013353A" w:rsidRPr="009660DC" w:rsidRDefault="0013353A" w:rsidP="0013353A">
            <w:pPr>
              <w:rPr>
                <w:rFonts w:ascii="FS Me" w:hAnsi="FS Me"/>
                <w:sz w:val="18"/>
                <w:szCs w:val="18"/>
              </w:rPr>
            </w:pPr>
            <w:r w:rsidRPr="009660DC">
              <w:rPr>
                <w:rFonts w:cstheme="minorHAnsi"/>
                <w:sz w:val="18"/>
                <w:szCs w:val="18"/>
              </w:rPr>
              <w:t>N/A</w:t>
            </w:r>
          </w:p>
        </w:tc>
        <w:tc>
          <w:tcPr>
            <w:tcW w:w="2517" w:type="dxa"/>
          </w:tcPr>
          <w:p w14:paraId="5C558F85" w14:textId="6DD31161" w:rsidR="0013353A" w:rsidRPr="009660DC" w:rsidRDefault="008B0B1E" w:rsidP="0013353A">
            <w:pPr>
              <w:rPr>
                <w:rFonts w:cstheme="minorHAnsi"/>
                <w:sz w:val="18"/>
                <w:szCs w:val="18"/>
              </w:rPr>
            </w:pPr>
            <w:r w:rsidRPr="009660DC">
              <w:rPr>
                <w:rFonts w:cstheme="minorHAnsi"/>
                <w:sz w:val="18"/>
                <w:szCs w:val="18"/>
              </w:rPr>
              <w:t>Please refer to comment regarding social indicators 10-14</w:t>
            </w:r>
            <w:r w:rsidR="00E1747F" w:rsidRPr="009660DC">
              <w:rPr>
                <w:rFonts w:cstheme="minorHAnsi"/>
                <w:sz w:val="18"/>
                <w:szCs w:val="18"/>
              </w:rPr>
              <w:t xml:space="preserve"> in the table above</w:t>
            </w:r>
            <w:r w:rsidRPr="009660DC">
              <w:rPr>
                <w:rFonts w:cstheme="minorHAnsi"/>
                <w:sz w:val="18"/>
                <w:szCs w:val="18"/>
              </w:rPr>
              <w:t xml:space="preserve">, which also </w:t>
            </w:r>
            <w:r w:rsidR="00E1747F" w:rsidRPr="009660DC">
              <w:rPr>
                <w:rFonts w:cstheme="minorHAnsi"/>
                <w:sz w:val="18"/>
                <w:szCs w:val="18"/>
              </w:rPr>
              <w:t>relates to</w:t>
            </w:r>
            <w:r w:rsidRPr="009660DC">
              <w:rPr>
                <w:rFonts w:cstheme="minorHAnsi"/>
                <w:sz w:val="18"/>
                <w:szCs w:val="18"/>
              </w:rPr>
              <w:t xml:space="preserve"> our investments in sovereigns and </w:t>
            </w:r>
            <w:proofErr w:type="spellStart"/>
            <w:r w:rsidRPr="009660DC">
              <w:rPr>
                <w:rFonts w:cstheme="minorHAnsi"/>
                <w:sz w:val="18"/>
                <w:szCs w:val="18"/>
              </w:rPr>
              <w:t>supranationals</w:t>
            </w:r>
            <w:proofErr w:type="spellEnd"/>
          </w:p>
        </w:tc>
      </w:tr>
    </w:tbl>
    <w:p w14:paraId="18C69164" w14:textId="77777777" w:rsidR="001216F4" w:rsidRPr="009660DC" w:rsidRDefault="001216F4" w:rsidP="001216F4">
      <w:pPr>
        <w:jc w:val="both"/>
        <w:rPr>
          <w:rFonts w:ascii="FS Me" w:hAnsi="FS Me"/>
          <w:b/>
          <w:sz w:val="22"/>
        </w:rPr>
      </w:pPr>
    </w:p>
    <w:p w14:paraId="77DD1716" w14:textId="77777777" w:rsidR="00C056ED" w:rsidRPr="009660DC" w:rsidRDefault="00C056ED">
      <w:pPr>
        <w:rPr>
          <w:rFonts w:ascii="FS Me" w:hAnsi="FS Me"/>
          <w:b/>
          <w:sz w:val="22"/>
        </w:rPr>
      </w:pPr>
      <w:r w:rsidRPr="009660DC">
        <w:rPr>
          <w:rFonts w:ascii="FS Me" w:hAnsi="FS Me"/>
          <w:b/>
          <w:sz w:val="22"/>
        </w:rPr>
        <w:br w:type="page"/>
      </w:r>
    </w:p>
    <w:p w14:paraId="03E3B562" w14:textId="77777777" w:rsidR="00B463F0" w:rsidRPr="009660DC" w:rsidRDefault="00B463F0" w:rsidP="00B463F0">
      <w:pPr>
        <w:jc w:val="center"/>
        <w:rPr>
          <w:b/>
          <w:noProof/>
        </w:rPr>
      </w:pPr>
      <w:r w:rsidRPr="009660DC">
        <w:rPr>
          <w:b/>
          <w:noProof/>
        </w:rPr>
        <w:lastRenderedPageBreak/>
        <w:t>Indicators applicable to investments in real estate assets</w:t>
      </w:r>
    </w:p>
    <w:p w14:paraId="51E9E711" w14:textId="77777777" w:rsidR="001216F4" w:rsidRPr="009660DC" w:rsidRDefault="001216F4" w:rsidP="001216F4">
      <w:pPr>
        <w:jc w:val="both"/>
        <w:rPr>
          <w:rFonts w:ascii="FS Me" w:hAnsi="FS Me"/>
          <w:sz w:val="22"/>
        </w:rPr>
      </w:pPr>
    </w:p>
    <w:tbl>
      <w:tblPr>
        <w:tblStyle w:val="TableGrid"/>
        <w:tblW w:w="0" w:type="auto"/>
        <w:tblLook w:val="04A0" w:firstRow="1" w:lastRow="0" w:firstColumn="1" w:lastColumn="0" w:noHBand="0" w:noVBand="1"/>
      </w:tblPr>
      <w:tblGrid>
        <w:gridCol w:w="2298"/>
        <w:gridCol w:w="2166"/>
        <w:gridCol w:w="2339"/>
        <w:gridCol w:w="1933"/>
        <w:gridCol w:w="1933"/>
        <w:gridCol w:w="1950"/>
        <w:gridCol w:w="1942"/>
      </w:tblGrid>
      <w:tr w:rsidR="0039194A" w:rsidRPr="009660DC" w14:paraId="693E663D" w14:textId="77777777" w:rsidTr="008B0B1E">
        <w:tc>
          <w:tcPr>
            <w:tcW w:w="4464" w:type="dxa"/>
            <w:gridSpan w:val="2"/>
          </w:tcPr>
          <w:p w14:paraId="6F11D269" w14:textId="4E60C1AF" w:rsidR="0039194A" w:rsidRPr="009660DC" w:rsidRDefault="00B463F0" w:rsidP="00D23CE4">
            <w:pPr>
              <w:rPr>
                <w:rFonts w:ascii="FS Me" w:hAnsi="FS Me"/>
                <w:b/>
                <w:sz w:val="18"/>
                <w:szCs w:val="18"/>
              </w:rPr>
            </w:pPr>
            <w:r w:rsidRPr="009660DC">
              <w:rPr>
                <w:rFonts w:ascii="Times New Roman" w:hAnsi="Times New Roman"/>
                <w:b/>
                <w:noProof/>
                <w:szCs w:val="22"/>
              </w:rPr>
              <w:t>Adverse sustainability indicator</w:t>
            </w:r>
            <w:r w:rsidRPr="009660DC">
              <w:rPr>
                <w:rFonts w:ascii="FS Me" w:hAnsi="FS Me"/>
                <w:b/>
                <w:sz w:val="18"/>
                <w:szCs w:val="18"/>
              </w:rPr>
              <w:t xml:space="preserve"> </w:t>
            </w:r>
          </w:p>
        </w:tc>
        <w:tc>
          <w:tcPr>
            <w:tcW w:w="2339" w:type="dxa"/>
          </w:tcPr>
          <w:p w14:paraId="19C1FB8F" w14:textId="51ADC3E6" w:rsidR="0039194A" w:rsidRPr="009660DC" w:rsidRDefault="00B463F0" w:rsidP="00D23CE4">
            <w:pPr>
              <w:rPr>
                <w:rFonts w:ascii="FS Me" w:hAnsi="FS Me"/>
                <w:b/>
                <w:sz w:val="18"/>
                <w:szCs w:val="18"/>
              </w:rPr>
            </w:pPr>
            <w:r w:rsidRPr="009660DC">
              <w:rPr>
                <w:b/>
                <w:noProof/>
              </w:rPr>
              <w:t>Metric</w:t>
            </w:r>
          </w:p>
        </w:tc>
        <w:tc>
          <w:tcPr>
            <w:tcW w:w="1933" w:type="dxa"/>
          </w:tcPr>
          <w:p w14:paraId="41DC68B4" w14:textId="4B95FF87" w:rsidR="0039194A" w:rsidRPr="009660DC" w:rsidRDefault="00B463F0" w:rsidP="00D23CE4">
            <w:pPr>
              <w:rPr>
                <w:rFonts w:ascii="FS Me" w:hAnsi="FS Me"/>
                <w:b/>
                <w:sz w:val="18"/>
                <w:szCs w:val="18"/>
              </w:rPr>
            </w:pPr>
            <w:r w:rsidRPr="009660DC">
              <w:rPr>
                <w:b/>
                <w:noProof/>
              </w:rPr>
              <w:t>Impact</w:t>
            </w:r>
            <w:r w:rsidR="0039194A" w:rsidRPr="009660DC">
              <w:rPr>
                <w:rFonts w:ascii="FS Me" w:hAnsi="FS Me"/>
                <w:b/>
                <w:sz w:val="18"/>
                <w:szCs w:val="18"/>
              </w:rPr>
              <w:t xml:space="preserve"> 2022</w:t>
            </w:r>
          </w:p>
        </w:tc>
        <w:tc>
          <w:tcPr>
            <w:tcW w:w="1933" w:type="dxa"/>
          </w:tcPr>
          <w:p w14:paraId="3FA98D5E" w14:textId="37893B62" w:rsidR="0039194A" w:rsidRPr="009660DC" w:rsidRDefault="00B463F0" w:rsidP="00D23CE4">
            <w:pPr>
              <w:rPr>
                <w:rFonts w:ascii="FS Me" w:hAnsi="FS Me"/>
                <w:b/>
                <w:sz w:val="18"/>
                <w:szCs w:val="18"/>
              </w:rPr>
            </w:pPr>
            <w:r w:rsidRPr="009660DC">
              <w:rPr>
                <w:b/>
                <w:noProof/>
              </w:rPr>
              <w:t>Impact</w:t>
            </w:r>
            <w:r w:rsidR="0039194A" w:rsidRPr="009660DC">
              <w:rPr>
                <w:rFonts w:ascii="FS Me" w:hAnsi="FS Me"/>
                <w:b/>
                <w:sz w:val="18"/>
                <w:szCs w:val="18"/>
              </w:rPr>
              <w:t xml:space="preserve"> 2021</w:t>
            </w:r>
          </w:p>
        </w:tc>
        <w:tc>
          <w:tcPr>
            <w:tcW w:w="1950" w:type="dxa"/>
          </w:tcPr>
          <w:p w14:paraId="66A13007" w14:textId="60B66CA4" w:rsidR="0039194A" w:rsidRPr="009660DC" w:rsidRDefault="00B463F0" w:rsidP="00D23CE4">
            <w:pPr>
              <w:rPr>
                <w:rFonts w:ascii="FS Me" w:hAnsi="FS Me"/>
                <w:b/>
                <w:sz w:val="18"/>
                <w:szCs w:val="18"/>
              </w:rPr>
            </w:pPr>
            <w:r w:rsidRPr="009660DC">
              <w:rPr>
                <w:b/>
                <w:noProof/>
              </w:rPr>
              <w:t>Explanation</w:t>
            </w:r>
          </w:p>
        </w:tc>
        <w:tc>
          <w:tcPr>
            <w:tcW w:w="1942" w:type="dxa"/>
          </w:tcPr>
          <w:p w14:paraId="50BC776D" w14:textId="5863F558" w:rsidR="0039194A" w:rsidRPr="009660DC" w:rsidRDefault="00B463F0" w:rsidP="00D23CE4">
            <w:pPr>
              <w:rPr>
                <w:rFonts w:ascii="FS Me" w:hAnsi="FS Me"/>
                <w:b/>
                <w:sz w:val="18"/>
                <w:szCs w:val="18"/>
              </w:rPr>
            </w:pPr>
            <w:r w:rsidRPr="009660DC">
              <w:rPr>
                <w:b/>
                <w:noProof/>
              </w:rPr>
              <w:t>Actions taken, and actions planned and targets set for the next reference period</w:t>
            </w:r>
          </w:p>
        </w:tc>
      </w:tr>
      <w:tr w:rsidR="008B0B1E" w:rsidRPr="009660DC" w14:paraId="04B7F030" w14:textId="77777777" w:rsidTr="008B0B1E">
        <w:tc>
          <w:tcPr>
            <w:tcW w:w="2298" w:type="dxa"/>
          </w:tcPr>
          <w:p w14:paraId="19E5239B" w14:textId="22B8D96B" w:rsidR="008B0B1E" w:rsidRPr="009660DC" w:rsidRDefault="008B0B1E" w:rsidP="007B5581">
            <w:pPr>
              <w:rPr>
                <w:rFonts w:ascii="FS Me" w:hAnsi="FS Me"/>
                <w:sz w:val="18"/>
                <w:szCs w:val="18"/>
              </w:rPr>
            </w:pPr>
            <w:r w:rsidRPr="009660DC">
              <w:rPr>
                <w:noProof/>
              </w:rPr>
              <w:t>Fossil fuels</w:t>
            </w:r>
          </w:p>
        </w:tc>
        <w:tc>
          <w:tcPr>
            <w:tcW w:w="2166" w:type="dxa"/>
          </w:tcPr>
          <w:p w14:paraId="0693A4F0" w14:textId="3D5AF1F8" w:rsidR="008B0B1E" w:rsidRPr="009660DC" w:rsidRDefault="008B0B1E" w:rsidP="00B463F0">
            <w:pPr>
              <w:rPr>
                <w:noProof/>
                <w:color w:val="000000"/>
              </w:rPr>
            </w:pPr>
            <w:r w:rsidRPr="009660DC">
              <w:rPr>
                <w:noProof/>
                <w:color w:val="000000"/>
              </w:rPr>
              <w:t>17. Exposure to fossil fuels through real estate assets</w:t>
            </w:r>
          </w:p>
        </w:tc>
        <w:tc>
          <w:tcPr>
            <w:tcW w:w="2339" w:type="dxa"/>
          </w:tcPr>
          <w:p w14:paraId="692B446E" w14:textId="26BBC6DD" w:rsidR="008B0B1E" w:rsidRPr="009660DC" w:rsidRDefault="008B0B1E" w:rsidP="007B5581">
            <w:pPr>
              <w:rPr>
                <w:rFonts w:ascii="FS Me" w:hAnsi="FS Me"/>
                <w:sz w:val="18"/>
                <w:szCs w:val="18"/>
              </w:rPr>
            </w:pPr>
            <w:r w:rsidRPr="009660DC">
              <w:rPr>
                <w:noProof/>
                <w:color w:val="000000"/>
              </w:rPr>
              <w:t>Share of investments in real estate assets involved in the extraction, storage, transport or manufacture of fossil fuels</w:t>
            </w:r>
          </w:p>
        </w:tc>
        <w:tc>
          <w:tcPr>
            <w:tcW w:w="1933" w:type="dxa"/>
          </w:tcPr>
          <w:p w14:paraId="3BED2779" w14:textId="17F3E074" w:rsidR="008B0B1E" w:rsidRPr="009660DC" w:rsidRDefault="008B0B1E" w:rsidP="007B5581">
            <w:pPr>
              <w:rPr>
                <w:rFonts w:ascii="FS Me" w:hAnsi="FS Me"/>
                <w:sz w:val="18"/>
                <w:szCs w:val="18"/>
              </w:rPr>
            </w:pPr>
            <w:r w:rsidRPr="009660DC">
              <w:rPr>
                <w:rFonts w:ascii="FS Me" w:hAnsi="FS Me"/>
                <w:sz w:val="18"/>
                <w:szCs w:val="18"/>
              </w:rPr>
              <w:t>0,0%</w:t>
            </w:r>
          </w:p>
        </w:tc>
        <w:tc>
          <w:tcPr>
            <w:tcW w:w="1933" w:type="dxa"/>
          </w:tcPr>
          <w:p w14:paraId="14101BEF" w14:textId="74E20956" w:rsidR="008B0B1E" w:rsidRPr="009660DC" w:rsidRDefault="008B0B1E" w:rsidP="007B5581">
            <w:pPr>
              <w:rPr>
                <w:rFonts w:ascii="FS Me" w:hAnsi="FS Me"/>
                <w:sz w:val="18"/>
                <w:szCs w:val="18"/>
              </w:rPr>
            </w:pPr>
            <w:r w:rsidRPr="009660DC">
              <w:rPr>
                <w:rFonts w:ascii="FS Me" w:hAnsi="FS Me"/>
                <w:sz w:val="18"/>
                <w:szCs w:val="18"/>
              </w:rPr>
              <w:t>No data</w:t>
            </w:r>
          </w:p>
        </w:tc>
        <w:tc>
          <w:tcPr>
            <w:tcW w:w="1950" w:type="dxa"/>
          </w:tcPr>
          <w:p w14:paraId="490C6489" w14:textId="5089DB61" w:rsidR="008B0B1E" w:rsidRPr="009660DC" w:rsidRDefault="008B0B1E" w:rsidP="007B5581">
            <w:pPr>
              <w:rPr>
                <w:rFonts w:ascii="FS Me" w:hAnsi="FS Me"/>
                <w:sz w:val="18"/>
                <w:szCs w:val="18"/>
              </w:rPr>
            </w:pPr>
            <w:r w:rsidRPr="009660DC">
              <w:rPr>
                <w:rFonts w:cstheme="minorHAnsi"/>
                <w:sz w:val="18"/>
                <w:szCs w:val="18"/>
              </w:rPr>
              <w:t>N/A</w:t>
            </w:r>
          </w:p>
        </w:tc>
        <w:tc>
          <w:tcPr>
            <w:tcW w:w="1942" w:type="dxa"/>
            <w:vMerge w:val="restart"/>
          </w:tcPr>
          <w:p w14:paraId="7B79A4E5" w14:textId="6F79D6A7" w:rsidR="008B0B1E" w:rsidRPr="009660DC" w:rsidRDefault="008B0B1E" w:rsidP="007B5581">
            <w:pPr>
              <w:rPr>
                <w:rFonts w:asciiTheme="majorHAnsi" w:hAnsiTheme="majorHAnsi" w:cstheme="majorHAnsi"/>
                <w:sz w:val="18"/>
                <w:szCs w:val="18"/>
              </w:rPr>
            </w:pPr>
            <w:r w:rsidRPr="009660DC">
              <w:rPr>
                <w:rFonts w:asciiTheme="majorHAnsi" w:hAnsiTheme="majorHAnsi" w:cstheme="majorHAnsi"/>
                <w:sz w:val="18"/>
                <w:szCs w:val="18"/>
              </w:rPr>
              <w:t>Please refer to comment regarding environment</w:t>
            </w:r>
            <w:r w:rsidR="00E1747F" w:rsidRPr="009660DC">
              <w:rPr>
                <w:rFonts w:asciiTheme="majorHAnsi" w:hAnsiTheme="majorHAnsi" w:cstheme="majorHAnsi"/>
                <w:sz w:val="18"/>
                <w:szCs w:val="18"/>
              </w:rPr>
              <w:t>al</w:t>
            </w:r>
            <w:r w:rsidRPr="009660DC">
              <w:rPr>
                <w:rFonts w:asciiTheme="majorHAnsi" w:hAnsiTheme="majorHAnsi" w:cstheme="majorHAnsi"/>
                <w:sz w:val="18"/>
                <w:szCs w:val="18"/>
              </w:rPr>
              <w:t xml:space="preserve"> indicators 1-6</w:t>
            </w:r>
            <w:r w:rsidR="00E1747F" w:rsidRPr="009660DC">
              <w:rPr>
                <w:rFonts w:asciiTheme="majorHAnsi" w:hAnsiTheme="majorHAnsi" w:cstheme="majorHAnsi"/>
                <w:sz w:val="18"/>
                <w:szCs w:val="18"/>
              </w:rPr>
              <w:t xml:space="preserve"> in the table above</w:t>
            </w:r>
            <w:r w:rsidRPr="009660DC">
              <w:rPr>
                <w:rFonts w:asciiTheme="majorHAnsi" w:hAnsiTheme="majorHAnsi" w:cstheme="majorHAnsi"/>
                <w:sz w:val="18"/>
                <w:szCs w:val="18"/>
              </w:rPr>
              <w:t xml:space="preserve">, which also </w:t>
            </w:r>
            <w:r w:rsidR="00E1747F" w:rsidRPr="009660DC">
              <w:rPr>
                <w:rFonts w:asciiTheme="majorHAnsi" w:hAnsiTheme="majorHAnsi" w:cstheme="majorHAnsi"/>
                <w:sz w:val="18"/>
                <w:szCs w:val="18"/>
              </w:rPr>
              <w:t>relates to</w:t>
            </w:r>
            <w:r w:rsidRPr="009660DC">
              <w:rPr>
                <w:rFonts w:asciiTheme="majorHAnsi" w:hAnsiTheme="majorHAnsi" w:cstheme="majorHAnsi"/>
                <w:sz w:val="18"/>
                <w:szCs w:val="18"/>
              </w:rPr>
              <w:t xml:space="preserve"> our investments in real estate assets</w:t>
            </w:r>
          </w:p>
        </w:tc>
      </w:tr>
      <w:tr w:rsidR="008B0B1E" w:rsidRPr="009660DC" w14:paraId="104E0820" w14:textId="77777777" w:rsidTr="008B0B1E">
        <w:tc>
          <w:tcPr>
            <w:tcW w:w="2298" w:type="dxa"/>
          </w:tcPr>
          <w:p w14:paraId="1F8612D1" w14:textId="619D1F34" w:rsidR="008B0B1E" w:rsidRPr="009660DC" w:rsidRDefault="008B0B1E" w:rsidP="007B5581">
            <w:pPr>
              <w:rPr>
                <w:rFonts w:ascii="FS Me" w:hAnsi="FS Me"/>
                <w:sz w:val="18"/>
                <w:szCs w:val="18"/>
              </w:rPr>
            </w:pPr>
            <w:r w:rsidRPr="009660DC">
              <w:rPr>
                <w:noProof/>
              </w:rPr>
              <w:t>Energy efficiency</w:t>
            </w:r>
          </w:p>
        </w:tc>
        <w:tc>
          <w:tcPr>
            <w:tcW w:w="2166" w:type="dxa"/>
          </w:tcPr>
          <w:p w14:paraId="758CAA4C" w14:textId="479A6EA5" w:rsidR="008B0B1E" w:rsidRPr="009660DC" w:rsidRDefault="008B0B1E" w:rsidP="00B463F0">
            <w:pPr>
              <w:rPr>
                <w:noProof/>
                <w:color w:val="000000"/>
              </w:rPr>
            </w:pPr>
            <w:r w:rsidRPr="009660DC">
              <w:rPr>
                <w:noProof/>
                <w:color w:val="000000"/>
              </w:rPr>
              <w:t>18. Exposure to energy-inefficient real estate assets</w:t>
            </w:r>
          </w:p>
        </w:tc>
        <w:tc>
          <w:tcPr>
            <w:tcW w:w="2339" w:type="dxa"/>
          </w:tcPr>
          <w:p w14:paraId="00687FD5" w14:textId="77777777" w:rsidR="008B0B1E" w:rsidRPr="009660DC" w:rsidRDefault="008B0B1E" w:rsidP="00B463F0">
            <w:pPr>
              <w:rPr>
                <w:noProof/>
                <w:color w:val="000000"/>
              </w:rPr>
            </w:pPr>
            <w:r w:rsidRPr="009660DC">
              <w:rPr>
                <w:noProof/>
                <w:color w:val="000000"/>
              </w:rPr>
              <w:t>Share of investments in energy-inefficient real estate assets</w:t>
            </w:r>
          </w:p>
          <w:p w14:paraId="306E25AA" w14:textId="741FBB7C" w:rsidR="008B0B1E" w:rsidRPr="009660DC" w:rsidRDefault="008B0B1E" w:rsidP="007B5581">
            <w:pPr>
              <w:rPr>
                <w:rFonts w:ascii="FS Me" w:hAnsi="FS Me"/>
                <w:sz w:val="18"/>
                <w:szCs w:val="18"/>
              </w:rPr>
            </w:pPr>
          </w:p>
        </w:tc>
        <w:tc>
          <w:tcPr>
            <w:tcW w:w="1933" w:type="dxa"/>
          </w:tcPr>
          <w:p w14:paraId="0CA7AE92" w14:textId="0FFF8601" w:rsidR="008B0B1E" w:rsidRPr="009660DC" w:rsidRDefault="008B0B1E" w:rsidP="007B5581">
            <w:pPr>
              <w:rPr>
                <w:rFonts w:ascii="FS Me" w:hAnsi="FS Me"/>
                <w:sz w:val="18"/>
                <w:szCs w:val="18"/>
              </w:rPr>
            </w:pPr>
            <w:r w:rsidRPr="009660DC">
              <w:rPr>
                <w:rFonts w:ascii="FS Me" w:hAnsi="FS Me"/>
                <w:sz w:val="18"/>
                <w:szCs w:val="18"/>
              </w:rPr>
              <w:t>0,0%</w:t>
            </w:r>
          </w:p>
        </w:tc>
        <w:tc>
          <w:tcPr>
            <w:tcW w:w="1933" w:type="dxa"/>
          </w:tcPr>
          <w:p w14:paraId="17E0D947" w14:textId="6FF4C29A" w:rsidR="008B0B1E" w:rsidRPr="009660DC" w:rsidRDefault="008B0B1E" w:rsidP="007B5581">
            <w:pPr>
              <w:rPr>
                <w:rFonts w:ascii="FS Me" w:hAnsi="FS Me"/>
                <w:sz w:val="18"/>
                <w:szCs w:val="18"/>
              </w:rPr>
            </w:pPr>
            <w:r w:rsidRPr="009660DC">
              <w:rPr>
                <w:rFonts w:ascii="FS Me" w:hAnsi="FS Me"/>
                <w:sz w:val="18"/>
                <w:szCs w:val="18"/>
              </w:rPr>
              <w:t>No data</w:t>
            </w:r>
          </w:p>
        </w:tc>
        <w:tc>
          <w:tcPr>
            <w:tcW w:w="1950" w:type="dxa"/>
          </w:tcPr>
          <w:p w14:paraId="27FC4226" w14:textId="1C783072" w:rsidR="008B0B1E" w:rsidRPr="009660DC" w:rsidRDefault="008B0B1E" w:rsidP="007B5581">
            <w:pPr>
              <w:rPr>
                <w:rFonts w:ascii="FS Me" w:hAnsi="FS Me"/>
                <w:sz w:val="18"/>
                <w:szCs w:val="18"/>
              </w:rPr>
            </w:pPr>
            <w:r w:rsidRPr="009660DC">
              <w:rPr>
                <w:rFonts w:cstheme="minorHAnsi"/>
                <w:sz w:val="18"/>
                <w:szCs w:val="18"/>
              </w:rPr>
              <w:t>N/A</w:t>
            </w:r>
          </w:p>
        </w:tc>
        <w:tc>
          <w:tcPr>
            <w:tcW w:w="1942" w:type="dxa"/>
            <w:vMerge/>
          </w:tcPr>
          <w:p w14:paraId="13827EFA" w14:textId="77777777" w:rsidR="008B0B1E" w:rsidRPr="009660DC" w:rsidRDefault="008B0B1E" w:rsidP="007B5581">
            <w:pPr>
              <w:rPr>
                <w:rFonts w:ascii="FS Me" w:hAnsi="FS Me"/>
                <w:sz w:val="18"/>
                <w:szCs w:val="18"/>
              </w:rPr>
            </w:pPr>
          </w:p>
        </w:tc>
      </w:tr>
    </w:tbl>
    <w:p w14:paraId="74AA50DB" w14:textId="77777777" w:rsidR="00C564E3" w:rsidRPr="009660DC" w:rsidRDefault="00C564E3" w:rsidP="00DC4872">
      <w:pPr>
        <w:jc w:val="both"/>
        <w:rPr>
          <w:rFonts w:ascii="FS Me" w:hAnsi="FS Me"/>
          <w:b/>
          <w:sz w:val="22"/>
        </w:rPr>
      </w:pPr>
    </w:p>
    <w:p w14:paraId="1798555F" w14:textId="77777777" w:rsidR="009D2184" w:rsidRPr="009660DC" w:rsidRDefault="009D2184">
      <w:pPr>
        <w:rPr>
          <w:rFonts w:ascii="FS Me" w:hAnsi="FS Me"/>
          <w:b/>
          <w:sz w:val="22"/>
        </w:rPr>
      </w:pPr>
      <w:r w:rsidRPr="009660DC">
        <w:rPr>
          <w:rFonts w:ascii="FS Me" w:hAnsi="FS Me"/>
          <w:b/>
          <w:sz w:val="22"/>
        </w:rPr>
        <w:br w:type="page"/>
      </w:r>
    </w:p>
    <w:p w14:paraId="6AA3FA04" w14:textId="77777777" w:rsidR="00790332" w:rsidRPr="009660DC" w:rsidRDefault="00790332" w:rsidP="00790332">
      <w:pPr>
        <w:jc w:val="center"/>
        <w:rPr>
          <w:b/>
          <w:bCs/>
          <w:noProof/>
        </w:rPr>
      </w:pPr>
      <w:r w:rsidRPr="009660DC">
        <w:rPr>
          <w:b/>
          <w:bCs/>
          <w:noProof/>
        </w:rPr>
        <w:lastRenderedPageBreak/>
        <w:t>Other indicators for principal adverse impacts on sustainability factors</w:t>
      </w:r>
    </w:p>
    <w:p w14:paraId="7910E33A" w14:textId="77777777" w:rsidR="009D2184" w:rsidRPr="009660DC" w:rsidRDefault="009D2184" w:rsidP="00773CE1">
      <w:pPr>
        <w:jc w:val="both"/>
        <w:rPr>
          <w:rFonts w:ascii="FS Me" w:hAnsi="FS Me"/>
          <w:b/>
          <w:sz w:val="22"/>
        </w:rPr>
      </w:pPr>
    </w:p>
    <w:p w14:paraId="18B82567" w14:textId="77777777" w:rsidR="00773CE1" w:rsidRPr="009660DC" w:rsidRDefault="00773CE1" w:rsidP="00773CE1">
      <w:pPr>
        <w:jc w:val="both"/>
        <w:rPr>
          <w:rFonts w:ascii="FS Me" w:hAnsi="FS Me"/>
          <w:sz w:val="22"/>
        </w:rPr>
      </w:pPr>
    </w:p>
    <w:tbl>
      <w:tblPr>
        <w:tblStyle w:val="TableGrid"/>
        <w:tblW w:w="14787" w:type="dxa"/>
        <w:tblLayout w:type="fixed"/>
        <w:tblLook w:val="04A0" w:firstRow="1" w:lastRow="0" w:firstColumn="1" w:lastColumn="0" w:noHBand="0" w:noVBand="1"/>
      </w:tblPr>
      <w:tblGrid>
        <w:gridCol w:w="2234"/>
        <w:gridCol w:w="2269"/>
        <w:gridCol w:w="2409"/>
        <w:gridCol w:w="1968"/>
        <w:gridCol w:w="1969"/>
        <w:gridCol w:w="1969"/>
        <w:gridCol w:w="1969"/>
      </w:tblGrid>
      <w:tr w:rsidR="00790332" w:rsidRPr="009660DC" w14:paraId="7404B203" w14:textId="77777777" w:rsidTr="00790332">
        <w:tc>
          <w:tcPr>
            <w:tcW w:w="4503" w:type="dxa"/>
            <w:gridSpan w:val="2"/>
          </w:tcPr>
          <w:p w14:paraId="1542AF57" w14:textId="2567E47D" w:rsidR="00790332" w:rsidRPr="009660DC" w:rsidRDefault="00790332" w:rsidP="00790332">
            <w:pPr>
              <w:rPr>
                <w:rFonts w:ascii="FS Me" w:hAnsi="FS Me"/>
                <w:b/>
                <w:sz w:val="18"/>
                <w:szCs w:val="18"/>
              </w:rPr>
            </w:pPr>
            <w:r w:rsidRPr="009660DC">
              <w:rPr>
                <w:rFonts w:ascii="Times New Roman" w:hAnsi="Times New Roman"/>
                <w:b/>
                <w:noProof/>
                <w:szCs w:val="22"/>
              </w:rPr>
              <w:t>Adverse sustainability indicator</w:t>
            </w:r>
            <w:r w:rsidRPr="009660DC">
              <w:rPr>
                <w:rFonts w:ascii="FS Me" w:hAnsi="FS Me"/>
                <w:b/>
                <w:sz w:val="18"/>
                <w:szCs w:val="18"/>
              </w:rPr>
              <w:t xml:space="preserve"> </w:t>
            </w:r>
          </w:p>
        </w:tc>
        <w:tc>
          <w:tcPr>
            <w:tcW w:w="2409" w:type="dxa"/>
          </w:tcPr>
          <w:p w14:paraId="3A4D6BA8" w14:textId="4E7A88A3" w:rsidR="00790332" w:rsidRPr="009660DC" w:rsidRDefault="00790332" w:rsidP="00790332">
            <w:pPr>
              <w:rPr>
                <w:rFonts w:ascii="FS Me" w:hAnsi="FS Me"/>
                <w:b/>
                <w:sz w:val="18"/>
                <w:szCs w:val="18"/>
              </w:rPr>
            </w:pPr>
            <w:r w:rsidRPr="009660DC">
              <w:rPr>
                <w:b/>
                <w:noProof/>
              </w:rPr>
              <w:t>Metric</w:t>
            </w:r>
          </w:p>
        </w:tc>
        <w:tc>
          <w:tcPr>
            <w:tcW w:w="1968" w:type="dxa"/>
          </w:tcPr>
          <w:p w14:paraId="4727D7B5" w14:textId="0B5C0DCC" w:rsidR="00790332" w:rsidRPr="009660DC" w:rsidRDefault="00790332" w:rsidP="00790332">
            <w:pPr>
              <w:rPr>
                <w:rFonts w:ascii="FS Me" w:hAnsi="FS Me"/>
                <w:b/>
                <w:sz w:val="18"/>
                <w:szCs w:val="18"/>
              </w:rPr>
            </w:pPr>
            <w:r w:rsidRPr="009660DC">
              <w:rPr>
                <w:b/>
                <w:noProof/>
              </w:rPr>
              <w:t>Impact</w:t>
            </w:r>
            <w:r w:rsidRPr="009660DC">
              <w:rPr>
                <w:rFonts w:ascii="FS Me" w:hAnsi="FS Me"/>
                <w:b/>
                <w:sz w:val="18"/>
                <w:szCs w:val="18"/>
              </w:rPr>
              <w:t xml:space="preserve"> 2022</w:t>
            </w:r>
          </w:p>
        </w:tc>
        <w:tc>
          <w:tcPr>
            <w:tcW w:w="1969" w:type="dxa"/>
          </w:tcPr>
          <w:p w14:paraId="5E8B2620" w14:textId="7BBEBDBA" w:rsidR="00790332" w:rsidRPr="009660DC" w:rsidRDefault="00790332" w:rsidP="00790332">
            <w:pPr>
              <w:rPr>
                <w:rFonts w:ascii="FS Me" w:hAnsi="FS Me"/>
                <w:b/>
                <w:sz w:val="18"/>
                <w:szCs w:val="18"/>
              </w:rPr>
            </w:pPr>
            <w:r w:rsidRPr="009660DC">
              <w:rPr>
                <w:b/>
                <w:noProof/>
              </w:rPr>
              <w:t>Impact</w:t>
            </w:r>
            <w:r w:rsidRPr="009660DC">
              <w:rPr>
                <w:rFonts w:ascii="FS Me" w:hAnsi="FS Me"/>
                <w:b/>
                <w:sz w:val="18"/>
                <w:szCs w:val="18"/>
              </w:rPr>
              <w:t xml:space="preserve"> 2021</w:t>
            </w:r>
          </w:p>
        </w:tc>
        <w:tc>
          <w:tcPr>
            <w:tcW w:w="1969" w:type="dxa"/>
          </w:tcPr>
          <w:p w14:paraId="1B427EA2" w14:textId="077FE4A5" w:rsidR="00790332" w:rsidRPr="009660DC" w:rsidRDefault="00790332" w:rsidP="00790332">
            <w:pPr>
              <w:rPr>
                <w:rFonts w:ascii="FS Me" w:hAnsi="FS Me"/>
                <w:b/>
                <w:sz w:val="18"/>
                <w:szCs w:val="18"/>
              </w:rPr>
            </w:pPr>
            <w:r w:rsidRPr="009660DC">
              <w:rPr>
                <w:b/>
                <w:noProof/>
              </w:rPr>
              <w:t>Explanation</w:t>
            </w:r>
          </w:p>
        </w:tc>
        <w:tc>
          <w:tcPr>
            <w:tcW w:w="1969" w:type="dxa"/>
          </w:tcPr>
          <w:p w14:paraId="6100BAA2" w14:textId="726A82FA" w:rsidR="00790332" w:rsidRPr="009660DC" w:rsidRDefault="00790332" w:rsidP="00790332">
            <w:pPr>
              <w:rPr>
                <w:rFonts w:ascii="FS Me" w:hAnsi="FS Me"/>
                <w:b/>
                <w:sz w:val="18"/>
                <w:szCs w:val="18"/>
              </w:rPr>
            </w:pPr>
            <w:r w:rsidRPr="009660DC">
              <w:rPr>
                <w:b/>
                <w:noProof/>
              </w:rPr>
              <w:t>Actions taken, and actions planned and targets set for the next reference period</w:t>
            </w:r>
          </w:p>
        </w:tc>
      </w:tr>
      <w:tr w:rsidR="00773CE1" w:rsidRPr="009660DC" w14:paraId="4C06CDE8" w14:textId="77777777" w:rsidTr="00790332">
        <w:tc>
          <w:tcPr>
            <w:tcW w:w="14787" w:type="dxa"/>
            <w:gridSpan w:val="7"/>
          </w:tcPr>
          <w:p w14:paraId="3F9209D7" w14:textId="77777777" w:rsidR="00790332" w:rsidRPr="009660DC" w:rsidRDefault="00790332" w:rsidP="00790332">
            <w:pPr>
              <w:jc w:val="center"/>
              <w:rPr>
                <w:b/>
                <w:noProof/>
              </w:rPr>
            </w:pPr>
            <w:r w:rsidRPr="009660DC">
              <w:rPr>
                <w:b/>
                <w:noProof/>
              </w:rPr>
              <w:t>CLIMATE AND OTHER ENVIRONMENT-RELATED INDICATORS</w:t>
            </w:r>
          </w:p>
          <w:p w14:paraId="732E2322" w14:textId="39D51BA3" w:rsidR="00773CE1" w:rsidRPr="009660DC" w:rsidRDefault="00773CE1" w:rsidP="00D23CE4">
            <w:pPr>
              <w:rPr>
                <w:rFonts w:ascii="FS Me" w:hAnsi="FS Me"/>
                <w:b/>
                <w:sz w:val="18"/>
                <w:szCs w:val="18"/>
              </w:rPr>
            </w:pPr>
          </w:p>
        </w:tc>
      </w:tr>
      <w:tr w:rsidR="0044576C" w:rsidRPr="009660DC" w14:paraId="7B977FF5" w14:textId="77777777" w:rsidTr="00790332">
        <w:tc>
          <w:tcPr>
            <w:tcW w:w="2234" w:type="dxa"/>
          </w:tcPr>
          <w:p w14:paraId="5788D6C7" w14:textId="6983BAA9" w:rsidR="0044576C" w:rsidRPr="009660DC" w:rsidRDefault="0044576C" w:rsidP="0044576C">
            <w:pPr>
              <w:rPr>
                <w:noProof/>
                <w:szCs w:val="24"/>
              </w:rPr>
            </w:pPr>
            <w:r w:rsidRPr="009660DC">
              <w:rPr>
                <w:noProof/>
                <w:szCs w:val="24"/>
              </w:rPr>
              <w:t>Water, waste and material emissions</w:t>
            </w:r>
          </w:p>
        </w:tc>
        <w:tc>
          <w:tcPr>
            <w:tcW w:w="2269" w:type="dxa"/>
          </w:tcPr>
          <w:p w14:paraId="37A47CDD" w14:textId="4DE13C74" w:rsidR="0044576C" w:rsidRPr="009660DC" w:rsidRDefault="0044576C" w:rsidP="0044576C">
            <w:pPr>
              <w:rPr>
                <w:noProof/>
                <w:szCs w:val="24"/>
              </w:rPr>
            </w:pPr>
            <w:r w:rsidRPr="009660DC">
              <w:rPr>
                <w:noProof/>
                <w:szCs w:val="24"/>
              </w:rPr>
              <w:t>8. Exposure to areas of high water stress</w:t>
            </w:r>
          </w:p>
        </w:tc>
        <w:tc>
          <w:tcPr>
            <w:tcW w:w="2409" w:type="dxa"/>
          </w:tcPr>
          <w:p w14:paraId="3C570BB1" w14:textId="4E879106" w:rsidR="0044576C" w:rsidRPr="009660DC" w:rsidRDefault="0044576C" w:rsidP="0044576C">
            <w:pPr>
              <w:rPr>
                <w:rFonts w:ascii="FS Me" w:hAnsi="FS Me"/>
                <w:sz w:val="18"/>
                <w:szCs w:val="18"/>
              </w:rPr>
            </w:pPr>
            <w:r w:rsidRPr="009660DC">
              <w:rPr>
                <w:noProof/>
                <w:szCs w:val="24"/>
              </w:rPr>
              <w:t>Share of investments in investee companies with sites located in areas of high water stress without a water management policy</w:t>
            </w:r>
          </w:p>
        </w:tc>
        <w:tc>
          <w:tcPr>
            <w:tcW w:w="1968" w:type="dxa"/>
          </w:tcPr>
          <w:p w14:paraId="7268643B" w14:textId="58406B70" w:rsidR="0044576C" w:rsidRPr="009660DC" w:rsidRDefault="00197169" w:rsidP="0044576C">
            <w:pPr>
              <w:rPr>
                <w:rFonts w:ascii="FS Me" w:hAnsi="FS Me"/>
                <w:sz w:val="18"/>
                <w:szCs w:val="18"/>
              </w:rPr>
            </w:pPr>
            <w:r w:rsidRPr="009660DC">
              <w:rPr>
                <w:rFonts w:ascii="FS Me" w:hAnsi="FS Me"/>
                <w:sz w:val="18"/>
                <w:szCs w:val="18"/>
              </w:rPr>
              <w:t>3,8%</w:t>
            </w:r>
          </w:p>
        </w:tc>
        <w:tc>
          <w:tcPr>
            <w:tcW w:w="1969" w:type="dxa"/>
          </w:tcPr>
          <w:p w14:paraId="29DA30F5" w14:textId="6C584A63" w:rsidR="0044576C" w:rsidRPr="009660DC" w:rsidRDefault="0044576C" w:rsidP="0044576C">
            <w:pPr>
              <w:rPr>
                <w:rFonts w:ascii="FS Me" w:hAnsi="FS Me"/>
                <w:sz w:val="18"/>
                <w:szCs w:val="18"/>
              </w:rPr>
            </w:pPr>
            <w:r w:rsidRPr="009660DC">
              <w:rPr>
                <w:rFonts w:ascii="FS Me" w:hAnsi="FS Me"/>
                <w:sz w:val="18"/>
                <w:szCs w:val="18"/>
              </w:rPr>
              <w:t>No data</w:t>
            </w:r>
          </w:p>
        </w:tc>
        <w:tc>
          <w:tcPr>
            <w:tcW w:w="1969" w:type="dxa"/>
          </w:tcPr>
          <w:p w14:paraId="3294F4DB" w14:textId="1A12C9F3" w:rsidR="0044576C" w:rsidRPr="009660DC" w:rsidRDefault="00D90723" w:rsidP="0044576C">
            <w:pPr>
              <w:rPr>
                <w:rFonts w:ascii="FS Me" w:hAnsi="FS Me"/>
                <w:sz w:val="18"/>
                <w:szCs w:val="18"/>
              </w:rPr>
            </w:pPr>
            <w:r w:rsidRPr="009660DC">
              <w:rPr>
                <w:rFonts w:cstheme="minorHAnsi"/>
                <w:sz w:val="18"/>
                <w:szCs w:val="18"/>
              </w:rPr>
              <w:t>N/A</w:t>
            </w:r>
          </w:p>
        </w:tc>
        <w:tc>
          <w:tcPr>
            <w:tcW w:w="1969" w:type="dxa"/>
          </w:tcPr>
          <w:p w14:paraId="178244D6" w14:textId="1988AED4" w:rsidR="0044576C" w:rsidRPr="009660DC" w:rsidRDefault="008B0B1E" w:rsidP="0044576C">
            <w:pPr>
              <w:rPr>
                <w:rFonts w:cstheme="minorHAnsi"/>
                <w:sz w:val="18"/>
                <w:szCs w:val="18"/>
              </w:rPr>
            </w:pPr>
            <w:r w:rsidRPr="009660DC">
              <w:rPr>
                <w:rFonts w:cstheme="minorHAnsi"/>
                <w:sz w:val="18"/>
                <w:szCs w:val="18"/>
              </w:rPr>
              <w:t>Please refer to comment regarding water and waste related indicators 8-9</w:t>
            </w:r>
            <w:r w:rsidR="00E1747F" w:rsidRPr="009660DC">
              <w:rPr>
                <w:rFonts w:cstheme="minorHAnsi"/>
                <w:sz w:val="18"/>
                <w:szCs w:val="18"/>
              </w:rPr>
              <w:t xml:space="preserve"> in the table above, which also relates to this indicator</w:t>
            </w:r>
          </w:p>
        </w:tc>
      </w:tr>
    </w:tbl>
    <w:p w14:paraId="49A6C402" w14:textId="77777777" w:rsidR="009D2184" w:rsidRPr="009660DC" w:rsidRDefault="009D2184" w:rsidP="009D2184">
      <w:pPr>
        <w:jc w:val="both"/>
        <w:rPr>
          <w:rFonts w:ascii="FS Me" w:hAnsi="FS Me"/>
          <w:sz w:val="22"/>
        </w:rPr>
      </w:pPr>
    </w:p>
    <w:tbl>
      <w:tblPr>
        <w:tblStyle w:val="TableGrid"/>
        <w:tblW w:w="14787" w:type="dxa"/>
        <w:tblLayout w:type="fixed"/>
        <w:tblLook w:val="04A0" w:firstRow="1" w:lastRow="0" w:firstColumn="1" w:lastColumn="0" w:noHBand="0" w:noVBand="1"/>
      </w:tblPr>
      <w:tblGrid>
        <w:gridCol w:w="2234"/>
        <w:gridCol w:w="2269"/>
        <w:gridCol w:w="2409"/>
        <w:gridCol w:w="1968"/>
        <w:gridCol w:w="1969"/>
        <w:gridCol w:w="1969"/>
        <w:gridCol w:w="1969"/>
      </w:tblGrid>
      <w:tr w:rsidR="00790332" w:rsidRPr="009660DC" w14:paraId="78BFBD61" w14:textId="77777777" w:rsidTr="00790332">
        <w:tc>
          <w:tcPr>
            <w:tcW w:w="4503" w:type="dxa"/>
            <w:gridSpan w:val="2"/>
          </w:tcPr>
          <w:p w14:paraId="1DBA60DD" w14:textId="56C7D1AC" w:rsidR="00790332" w:rsidRPr="009660DC" w:rsidRDefault="00790332" w:rsidP="00790332">
            <w:pPr>
              <w:rPr>
                <w:rFonts w:ascii="FS Me" w:hAnsi="FS Me"/>
                <w:b/>
                <w:sz w:val="18"/>
                <w:szCs w:val="18"/>
              </w:rPr>
            </w:pPr>
            <w:r w:rsidRPr="009660DC">
              <w:rPr>
                <w:rFonts w:ascii="Times New Roman" w:hAnsi="Times New Roman"/>
                <w:b/>
                <w:noProof/>
                <w:szCs w:val="22"/>
              </w:rPr>
              <w:t>Adverse sustainability indicator</w:t>
            </w:r>
            <w:r w:rsidRPr="009660DC">
              <w:rPr>
                <w:rFonts w:ascii="FS Me" w:hAnsi="FS Me"/>
                <w:b/>
                <w:sz w:val="18"/>
                <w:szCs w:val="18"/>
              </w:rPr>
              <w:t xml:space="preserve"> </w:t>
            </w:r>
          </w:p>
        </w:tc>
        <w:tc>
          <w:tcPr>
            <w:tcW w:w="2409" w:type="dxa"/>
          </w:tcPr>
          <w:p w14:paraId="1222B37D" w14:textId="4B45387F" w:rsidR="00790332" w:rsidRPr="009660DC" w:rsidRDefault="00790332" w:rsidP="00790332">
            <w:pPr>
              <w:rPr>
                <w:rFonts w:ascii="FS Me" w:hAnsi="FS Me"/>
                <w:b/>
                <w:sz w:val="18"/>
                <w:szCs w:val="18"/>
              </w:rPr>
            </w:pPr>
            <w:r w:rsidRPr="009660DC">
              <w:rPr>
                <w:b/>
                <w:noProof/>
              </w:rPr>
              <w:t>Metric</w:t>
            </w:r>
          </w:p>
        </w:tc>
        <w:tc>
          <w:tcPr>
            <w:tcW w:w="1968" w:type="dxa"/>
          </w:tcPr>
          <w:p w14:paraId="584C7489" w14:textId="2D2E79DF" w:rsidR="00790332" w:rsidRPr="009660DC" w:rsidRDefault="00790332" w:rsidP="00790332">
            <w:pPr>
              <w:rPr>
                <w:rFonts w:ascii="FS Me" w:hAnsi="FS Me"/>
                <w:b/>
                <w:sz w:val="18"/>
                <w:szCs w:val="18"/>
              </w:rPr>
            </w:pPr>
            <w:r w:rsidRPr="009660DC">
              <w:rPr>
                <w:b/>
                <w:noProof/>
              </w:rPr>
              <w:t>Impact</w:t>
            </w:r>
            <w:r w:rsidRPr="009660DC">
              <w:rPr>
                <w:rFonts w:ascii="FS Me" w:hAnsi="FS Me"/>
                <w:b/>
                <w:sz w:val="18"/>
                <w:szCs w:val="18"/>
              </w:rPr>
              <w:t xml:space="preserve"> 2022</w:t>
            </w:r>
          </w:p>
        </w:tc>
        <w:tc>
          <w:tcPr>
            <w:tcW w:w="1969" w:type="dxa"/>
          </w:tcPr>
          <w:p w14:paraId="081F9978" w14:textId="68C97329" w:rsidR="00790332" w:rsidRPr="009660DC" w:rsidRDefault="00790332" w:rsidP="00790332">
            <w:pPr>
              <w:rPr>
                <w:rFonts w:ascii="FS Me" w:hAnsi="FS Me"/>
                <w:b/>
                <w:sz w:val="18"/>
                <w:szCs w:val="18"/>
              </w:rPr>
            </w:pPr>
            <w:r w:rsidRPr="009660DC">
              <w:rPr>
                <w:b/>
                <w:noProof/>
              </w:rPr>
              <w:t>Impact</w:t>
            </w:r>
            <w:r w:rsidRPr="009660DC">
              <w:rPr>
                <w:rFonts w:ascii="FS Me" w:hAnsi="FS Me"/>
                <w:b/>
                <w:sz w:val="18"/>
                <w:szCs w:val="18"/>
              </w:rPr>
              <w:t xml:space="preserve"> 2021</w:t>
            </w:r>
          </w:p>
        </w:tc>
        <w:tc>
          <w:tcPr>
            <w:tcW w:w="1969" w:type="dxa"/>
          </w:tcPr>
          <w:p w14:paraId="3F4F4113" w14:textId="10318AD5" w:rsidR="00790332" w:rsidRPr="009660DC" w:rsidRDefault="00790332" w:rsidP="00790332">
            <w:pPr>
              <w:rPr>
                <w:rFonts w:ascii="FS Me" w:hAnsi="FS Me"/>
                <w:b/>
                <w:sz w:val="18"/>
                <w:szCs w:val="18"/>
              </w:rPr>
            </w:pPr>
            <w:r w:rsidRPr="009660DC">
              <w:rPr>
                <w:b/>
                <w:noProof/>
              </w:rPr>
              <w:t>Explanation</w:t>
            </w:r>
          </w:p>
        </w:tc>
        <w:tc>
          <w:tcPr>
            <w:tcW w:w="1969" w:type="dxa"/>
          </w:tcPr>
          <w:p w14:paraId="5E803D62" w14:textId="5CC8FEC2" w:rsidR="00790332" w:rsidRPr="009660DC" w:rsidRDefault="00790332" w:rsidP="00790332">
            <w:pPr>
              <w:rPr>
                <w:rFonts w:ascii="FS Me" w:hAnsi="FS Me"/>
                <w:b/>
                <w:sz w:val="18"/>
                <w:szCs w:val="18"/>
              </w:rPr>
            </w:pPr>
            <w:r w:rsidRPr="009660DC">
              <w:rPr>
                <w:b/>
                <w:noProof/>
              </w:rPr>
              <w:t>Actions taken, and actions planned and targets set for the next reference period</w:t>
            </w:r>
          </w:p>
        </w:tc>
      </w:tr>
      <w:tr w:rsidR="00790332" w:rsidRPr="009660DC" w14:paraId="668C78A2" w14:textId="77777777" w:rsidTr="00790332">
        <w:tc>
          <w:tcPr>
            <w:tcW w:w="14787" w:type="dxa"/>
            <w:gridSpan w:val="7"/>
          </w:tcPr>
          <w:p w14:paraId="306B5B43" w14:textId="77777777" w:rsidR="00790332" w:rsidRPr="009660DC" w:rsidRDefault="00790332" w:rsidP="00790332">
            <w:pPr>
              <w:jc w:val="center"/>
              <w:rPr>
                <w:b/>
                <w:noProof/>
              </w:rPr>
            </w:pPr>
            <w:r w:rsidRPr="009660DC">
              <w:rPr>
                <w:b/>
                <w:noProof/>
              </w:rPr>
              <w:t>INDICATORS FOR SOCIAL AND EMPLOYEE, RESPECT FOR HUMAN RIGHTS, ANTI-CORRUPTION AND ANTI-BRIBERY MATTERS</w:t>
            </w:r>
          </w:p>
          <w:p w14:paraId="6ED117D7" w14:textId="6256A100" w:rsidR="00790332" w:rsidRPr="009660DC" w:rsidRDefault="00790332" w:rsidP="00790332">
            <w:pPr>
              <w:rPr>
                <w:rFonts w:ascii="FS Me" w:hAnsi="FS Me"/>
                <w:b/>
                <w:sz w:val="18"/>
                <w:szCs w:val="18"/>
              </w:rPr>
            </w:pPr>
          </w:p>
        </w:tc>
      </w:tr>
      <w:tr w:rsidR="0044576C" w:rsidRPr="009660DC" w14:paraId="5992CDCB" w14:textId="77777777" w:rsidTr="00790332">
        <w:tc>
          <w:tcPr>
            <w:tcW w:w="2234" w:type="dxa"/>
          </w:tcPr>
          <w:p w14:paraId="3BFE27B2" w14:textId="3C1A5835" w:rsidR="0044576C" w:rsidRPr="009660DC" w:rsidRDefault="0044576C" w:rsidP="0044576C">
            <w:pPr>
              <w:rPr>
                <w:noProof/>
              </w:rPr>
            </w:pPr>
            <w:r w:rsidRPr="009660DC">
              <w:rPr>
                <w:noProof/>
              </w:rPr>
              <w:t>Social and employee matters</w:t>
            </w:r>
          </w:p>
        </w:tc>
        <w:tc>
          <w:tcPr>
            <w:tcW w:w="2269" w:type="dxa"/>
          </w:tcPr>
          <w:p w14:paraId="2045B5DA" w14:textId="278AC319" w:rsidR="0044576C" w:rsidRPr="009660DC" w:rsidRDefault="0044576C" w:rsidP="0044576C">
            <w:pPr>
              <w:rPr>
                <w:noProof/>
              </w:rPr>
            </w:pPr>
            <w:r w:rsidRPr="009660DC">
              <w:rPr>
                <w:noProof/>
              </w:rPr>
              <w:t>2. Rate of accidents</w:t>
            </w:r>
          </w:p>
        </w:tc>
        <w:tc>
          <w:tcPr>
            <w:tcW w:w="2409" w:type="dxa"/>
          </w:tcPr>
          <w:p w14:paraId="2D5E2C09" w14:textId="07B9321C" w:rsidR="0044576C" w:rsidRPr="009660DC" w:rsidRDefault="0044576C" w:rsidP="0044576C">
            <w:pPr>
              <w:rPr>
                <w:rFonts w:ascii="FS Me" w:hAnsi="FS Me"/>
                <w:sz w:val="18"/>
                <w:szCs w:val="18"/>
              </w:rPr>
            </w:pPr>
            <w:r w:rsidRPr="009660DC">
              <w:rPr>
                <w:noProof/>
              </w:rPr>
              <w:t>Rate of accidents in investee companies expressed as a weighted average</w:t>
            </w:r>
          </w:p>
        </w:tc>
        <w:tc>
          <w:tcPr>
            <w:tcW w:w="1968" w:type="dxa"/>
          </w:tcPr>
          <w:p w14:paraId="10CC25D2" w14:textId="79F7A5D3" w:rsidR="0044576C" w:rsidRPr="009660DC" w:rsidRDefault="00197169" w:rsidP="0044576C">
            <w:pPr>
              <w:rPr>
                <w:rFonts w:ascii="FS Me" w:hAnsi="FS Me"/>
                <w:sz w:val="18"/>
                <w:szCs w:val="18"/>
              </w:rPr>
            </w:pPr>
            <w:r w:rsidRPr="009660DC">
              <w:rPr>
                <w:rFonts w:ascii="FS Me" w:hAnsi="FS Me"/>
                <w:sz w:val="18"/>
                <w:szCs w:val="18"/>
              </w:rPr>
              <w:t>0,02</w:t>
            </w:r>
          </w:p>
        </w:tc>
        <w:tc>
          <w:tcPr>
            <w:tcW w:w="1969" w:type="dxa"/>
          </w:tcPr>
          <w:p w14:paraId="02D3A6E2" w14:textId="0543E1EE" w:rsidR="0044576C" w:rsidRPr="009660DC" w:rsidRDefault="0044576C" w:rsidP="0044576C">
            <w:pPr>
              <w:rPr>
                <w:rFonts w:ascii="FS Me" w:hAnsi="FS Me"/>
                <w:sz w:val="18"/>
                <w:szCs w:val="18"/>
              </w:rPr>
            </w:pPr>
            <w:r w:rsidRPr="009660DC">
              <w:rPr>
                <w:rFonts w:ascii="FS Me" w:hAnsi="FS Me"/>
                <w:sz w:val="18"/>
                <w:szCs w:val="18"/>
              </w:rPr>
              <w:t>No data</w:t>
            </w:r>
          </w:p>
        </w:tc>
        <w:tc>
          <w:tcPr>
            <w:tcW w:w="1969" w:type="dxa"/>
          </w:tcPr>
          <w:p w14:paraId="0CB5EB6B" w14:textId="3B71BEA3" w:rsidR="0044576C" w:rsidRPr="009660DC" w:rsidRDefault="00D90723" w:rsidP="0044576C">
            <w:pPr>
              <w:rPr>
                <w:rFonts w:ascii="FS Me" w:hAnsi="FS Me"/>
                <w:sz w:val="18"/>
                <w:szCs w:val="18"/>
              </w:rPr>
            </w:pPr>
            <w:r w:rsidRPr="009660DC">
              <w:rPr>
                <w:rFonts w:cstheme="minorHAnsi"/>
                <w:sz w:val="18"/>
                <w:szCs w:val="18"/>
              </w:rPr>
              <w:t>N/A</w:t>
            </w:r>
          </w:p>
        </w:tc>
        <w:tc>
          <w:tcPr>
            <w:tcW w:w="1969" w:type="dxa"/>
          </w:tcPr>
          <w:p w14:paraId="3A152E02" w14:textId="1004E2A6" w:rsidR="0044576C" w:rsidRPr="009660DC" w:rsidRDefault="008B0B1E" w:rsidP="0044576C">
            <w:pPr>
              <w:rPr>
                <w:rFonts w:cstheme="minorHAnsi"/>
                <w:sz w:val="18"/>
                <w:szCs w:val="18"/>
              </w:rPr>
            </w:pPr>
            <w:r w:rsidRPr="009660DC">
              <w:rPr>
                <w:rFonts w:cstheme="minorHAnsi"/>
                <w:sz w:val="18"/>
                <w:szCs w:val="18"/>
              </w:rPr>
              <w:t>Please refer to the comment regarding social related indicators 10-14</w:t>
            </w:r>
            <w:r w:rsidR="00E1747F" w:rsidRPr="009660DC">
              <w:rPr>
                <w:rFonts w:cstheme="minorHAnsi"/>
                <w:sz w:val="18"/>
                <w:szCs w:val="18"/>
              </w:rPr>
              <w:t xml:space="preserve"> in the table above, which also relates to this indicator</w:t>
            </w:r>
          </w:p>
        </w:tc>
      </w:tr>
    </w:tbl>
    <w:p w14:paraId="6FEDD5CF" w14:textId="77777777" w:rsidR="009D2184" w:rsidRPr="009660DC" w:rsidRDefault="009D2184" w:rsidP="009D2184">
      <w:pPr>
        <w:jc w:val="both"/>
        <w:rPr>
          <w:rFonts w:ascii="FS Me" w:hAnsi="FS Me"/>
          <w:b/>
          <w:sz w:val="22"/>
        </w:rPr>
      </w:pPr>
    </w:p>
    <w:p w14:paraId="6B9A97B6" w14:textId="0ABF8988" w:rsidR="00773CE1" w:rsidRPr="009660DC" w:rsidRDefault="00773CE1" w:rsidP="009D2184">
      <w:pPr>
        <w:pStyle w:val="Default"/>
        <w:spacing w:after="120"/>
        <w:jc w:val="both"/>
        <w:rPr>
          <w:rFonts w:ascii="FS Me" w:hAnsi="FS Me" w:cstheme="majorHAnsi"/>
          <w:b/>
          <w:bCs/>
          <w:color w:val="auto"/>
          <w:sz w:val="22"/>
          <w:szCs w:val="22"/>
          <w:lang w:val="en-US"/>
        </w:rPr>
        <w:sectPr w:rsidR="00773CE1" w:rsidRPr="009660DC" w:rsidSect="00ED12E5">
          <w:headerReference w:type="default" r:id="rId14"/>
          <w:footerReference w:type="default" r:id="rId15"/>
          <w:type w:val="continuous"/>
          <w:pgSz w:w="16839" w:h="11907" w:orient="landscape" w:code="9"/>
          <w:pgMar w:top="1134" w:right="1134" w:bottom="992" w:left="1134" w:header="709" w:footer="709" w:gutter="0"/>
          <w:pgNumType w:start="0"/>
          <w:cols w:space="708"/>
          <w:docGrid w:linePitch="360"/>
        </w:sectPr>
      </w:pPr>
    </w:p>
    <w:p w14:paraId="442321DE" w14:textId="1532F3E9" w:rsidR="0067209E" w:rsidRPr="009660DC" w:rsidRDefault="0067209E" w:rsidP="00B911BF">
      <w:pPr>
        <w:pStyle w:val="Default"/>
        <w:spacing w:after="120"/>
        <w:jc w:val="both"/>
        <w:rPr>
          <w:rFonts w:asciiTheme="minorHAnsi" w:hAnsiTheme="minorHAnsi" w:cstheme="minorHAnsi"/>
          <w:b/>
          <w:color w:val="auto"/>
          <w:sz w:val="20"/>
          <w:szCs w:val="20"/>
          <w:lang w:val="en-US"/>
        </w:rPr>
      </w:pPr>
      <w:r w:rsidRPr="009660DC">
        <w:rPr>
          <w:rFonts w:asciiTheme="minorHAnsi" w:hAnsiTheme="minorHAnsi" w:cstheme="minorHAnsi"/>
          <w:b/>
          <w:color w:val="auto"/>
          <w:sz w:val="20"/>
          <w:szCs w:val="20"/>
          <w:lang w:val="en-US"/>
        </w:rPr>
        <w:lastRenderedPageBreak/>
        <w:t xml:space="preserve">Description of policies to identify and </w:t>
      </w:r>
      <w:r w:rsidR="009660DC" w:rsidRPr="009660DC">
        <w:rPr>
          <w:rFonts w:asciiTheme="minorHAnsi" w:hAnsiTheme="minorHAnsi" w:cstheme="minorHAnsi"/>
          <w:b/>
          <w:color w:val="auto"/>
          <w:sz w:val="20"/>
          <w:szCs w:val="20"/>
          <w:lang w:val="en-US"/>
        </w:rPr>
        <w:t>prioritize</w:t>
      </w:r>
      <w:r w:rsidRPr="009660DC">
        <w:rPr>
          <w:rFonts w:asciiTheme="minorHAnsi" w:hAnsiTheme="minorHAnsi" w:cstheme="minorHAnsi"/>
          <w:b/>
          <w:color w:val="auto"/>
          <w:sz w:val="20"/>
          <w:szCs w:val="20"/>
          <w:lang w:val="en-US"/>
        </w:rPr>
        <w:t xml:space="preserve"> principal adverse impacts on sustainability </w:t>
      </w:r>
      <w:proofErr w:type="gramStart"/>
      <w:r w:rsidRPr="009660DC">
        <w:rPr>
          <w:rFonts w:asciiTheme="minorHAnsi" w:hAnsiTheme="minorHAnsi" w:cstheme="minorHAnsi"/>
          <w:b/>
          <w:color w:val="auto"/>
          <w:sz w:val="20"/>
          <w:szCs w:val="20"/>
          <w:lang w:val="en-US"/>
        </w:rPr>
        <w:t>factors</w:t>
      </w:r>
      <w:proofErr w:type="gramEnd"/>
    </w:p>
    <w:p w14:paraId="4741E848" w14:textId="6AD98596" w:rsidR="00FD7C0A" w:rsidRPr="009660DC" w:rsidRDefault="00FD7C0A" w:rsidP="00FD7C0A">
      <w:pPr>
        <w:spacing w:after="120"/>
        <w:jc w:val="both"/>
        <w:rPr>
          <w:rFonts w:cstheme="minorHAnsi"/>
          <w:sz w:val="20"/>
          <w:szCs w:val="20"/>
        </w:rPr>
      </w:pPr>
      <w:r w:rsidRPr="009660DC">
        <w:rPr>
          <w:rFonts w:cstheme="minorHAnsi"/>
          <w:sz w:val="20"/>
          <w:szCs w:val="20"/>
        </w:rPr>
        <w:t xml:space="preserve">The sustainability indicators for the investment portfolio are mainly collected by </w:t>
      </w:r>
      <w:r w:rsidR="004C3CFD" w:rsidRPr="009660DC">
        <w:rPr>
          <w:rFonts w:cstheme="minorHAnsi"/>
          <w:sz w:val="20"/>
          <w:szCs w:val="20"/>
        </w:rPr>
        <w:t>our</w:t>
      </w:r>
      <w:r w:rsidRPr="009660DC">
        <w:rPr>
          <w:rFonts w:cstheme="minorHAnsi"/>
          <w:sz w:val="20"/>
          <w:szCs w:val="20"/>
        </w:rPr>
        <w:t xml:space="preserve"> asset manager MEAG, based on external data suppliers such as MSCI ESG and ISS for the liquid investments. For real estate and illiquid investments, these were supplemented by own analyses as well as by MEAG's </w:t>
      </w:r>
      <w:r w:rsidR="00D57CBD" w:rsidRPr="009660DC">
        <w:rPr>
          <w:rFonts w:cstheme="minorHAnsi"/>
          <w:sz w:val="20"/>
          <w:szCs w:val="20"/>
        </w:rPr>
        <w:t xml:space="preserve">internal </w:t>
      </w:r>
      <w:r w:rsidRPr="009660DC">
        <w:rPr>
          <w:rFonts w:cstheme="minorHAnsi"/>
          <w:sz w:val="20"/>
          <w:szCs w:val="20"/>
        </w:rPr>
        <w:t xml:space="preserve">analyses. However, the data available on the market is incomplete because not all companies worldwide are </w:t>
      </w:r>
      <w:proofErr w:type="gramStart"/>
      <w:r w:rsidRPr="009660DC">
        <w:rPr>
          <w:rFonts w:cstheme="minorHAnsi"/>
          <w:sz w:val="20"/>
          <w:szCs w:val="20"/>
        </w:rPr>
        <w:t>actually required</w:t>
      </w:r>
      <w:proofErr w:type="gramEnd"/>
      <w:r w:rsidRPr="009660DC">
        <w:rPr>
          <w:rFonts w:cstheme="minorHAnsi"/>
          <w:sz w:val="20"/>
          <w:szCs w:val="20"/>
        </w:rPr>
        <w:t xml:space="preserve"> to publish the relevant data. Only in the next few years will the quality of the available data </w:t>
      </w:r>
      <w:proofErr w:type="gramStart"/>
      <w:r w:rsidRPr="009660DC">
        <w:rPr>
          <w:rFonts w:cstheme="minorHAnsi"/>
          <w:sz w:val="20"/>
          <w:szCs w:val="20"/>
        </w:rPr>
        <w:t>improve</w:t>
      </w:r>
      <w:proofErr w:type="gramEnd"/>
      <w:r w:rsidRPr="009660DC">
        <w:rPr>
          <w:rFonts w:cstheme="minorHAnsi"/>
          <w:sz w:val="20"/>
          <w:szCs w:val="20"/>
        </w:rPr>
        <w:t xml:space="preserve"> and we will adopt the corresponding standards.</w:t>
      </w:r>
    </w:p>
    <w:p w14:paraId="4678FE6B" w14:textId="7C5E2F96" w:rsidR="00FD7C0A" w:rsidRPr="009660DC" w:rsidRDefault="00FD7C0A" w:rsidP="00FD7C0A">
      <w:pPr>
        <w:spacing w:after="120"/>
        <w:jc w:val="both"/>
        <w:rPr>
          <w:rFonts w:cstheme="minorHAnsi"/>
          <w:sz w:val="20"/>
          <w:szCs w:val="20"/>
        </w:rPr>
      </w:pPr>
      <w:r w:rsidRPr="009660DC">
        <w:rPr>
          <w:rFonts w:cstheme="minorHAnsi"/>
          <w:sz w:val="20"/>
          <w:szCs w:val="20"/>
        </w:rPr>
        <w:t xml:space="preserve">Data on funds of unit-linked life insurance for the account and risk of customers have not been included in this statement. This is due to the lack of data, as </w:t>
      </w:r>
      <w:proofErr w:type="gramStart"/>
      <w:r w:rsidRPr="009660DC">
        <w:rPr>
          <w:rFonts w:cstheme="minorHAnsi"/>
          <w:sz w:val="20"/>
          <w:szCs w:val="20"/>
        </w:rPr>
        <w:t>the vast majority of</w:t>
      </w:r>
      <w:proofErr w:type="gramEnd"/>
      <w:r w:rsidRPr="009660DC">
        <w:rPr>
          <w:rFonts w:cstheme="minorHAnsi"/>
          <w:sz w:val="20"/>
          <w:szCs w:val="20"/>
        </w:rPr>
        <w:t xml:space="preserve"> funds have not yet published the necessary information</w:t>
      </w:r>
      <w:r w:rsidR="0087143D" w:rsidRPr="009660DC">
        <w:rPr>
          <w:rFonts w:cstheme="minorHAnsi"/>
          <w:sz w:val="20"/>
          <w:szCs w:val="20"/>
        </w:rPr>
        <w:t xml:space="preserve"> during preparation of the statement</w:t>
      </w:r>
      <w:r w:rsidRPr="009660DC">
        <w:rPr>
          <w:rFonts w:cstheme="minorHAnsi"/>
          <w:sz w:val="20"/>
          <w:szCs w:val="20"/>
        </w:rPr>
        <w:t>. Despite evaluating external data sources and contacting the relevant fund companies, our efforts were unsuccessful. In subsequent years, the funds' data will be included as the database will improve over time.</w:t>
      </w:r>
    </w:p>
    <w:p w14:paraId="57A72FBA" w14:textId="1E02B360" w:rsidR="00FD7C0A" w:rsidRPr="009660DC" w:rsidRDefault="00FD7C0A" w:rsidP="00FD7C0A">
      <w:pPr>
        <w:spacing w:after="120"/>
        <w:jc w:val="both"/>
        <w:rPr>
          <w:rFonts w:cstheme="minorHAnsi"/>
          <w:sz w:val="20"/>
          <w:szCs w:val="20"/>
        </w:rPr>
      </w:pPr>
      <w:r w:rsidRPr="009660DC">
        <w:rPr>
          <w:rFonts w:cstheme="minorHAnsi"/>
          <w:sz w:val="20"/>
          <w:szCs w:val="20"/>
        </w:rPr>
        <w:t>For investments in companies, the above table includes the fourteen mandatory indicators. In addition, one additional indicator must be s</w:t>
      </w:r>
      <w:r w:rsidR="004302B5" w:rsidRPr="009660DC">
        <w:rPr>
          <w:rFonts w:cstheme="minorHAnsi"/>
          <w:sz w:val="20"/>
          <w:szCs w:val="20"/>
        </w:rPr>
        <w:t>elected from each of the areas ‘</w:t>
      </w:r>
      <w:r w:rsidR="004302B5" w:rsidRPr="009660DC">
        <w:t>climate and other environment-related indicators’</w:t>
      </w:r>
      <w:r w:rsidR="004302B5" w:rsidRPr="009660DC">
        <w:rPr>
          <w:rFonts w:cstheme="minorHAnsi"/>
          <w:sz w:val="20"/>
          <w:szCs w:val="20"/>
        </w:rPr>
        <w:t xml:space="preserve"> and ‘indicators for social and employee, respect for human rights, anti-corruption and anti-bribery </w:t>
      </w:r>
      <w:proofErr w:type="gramStart"/>
      <w:r w:rsidR="004302B5" w:rsidRPr="009660DC">
        <w:rPr>
          <w:rFonts w:cstheme="minorHAnsi"/>
          <w:sz w:val="20"/>
          <w:szCs w:val="20"/>
        </w:rPr>
        <w:t>matters’</w:t>
      </w:r>
      <w:proofErr w:type="gramEnd"/>
      <w:r w:rsidR="004302B5" w:rsidRPr="009660DC">
        <w:rPr>
          <w:rFonts w:cstheme="minorHAnsi"/>
          <w:sz w:val="20"/>
          <w:szCs w:val="20"/>
        </w:rPr>
        <w:t xml:space="preserve">. </w:t>
      </w:r>
      <w:r w:rsidRPr="009660DC">
        <w:rPr>
          <w:rFonts w:cstheme="minorHAnsi"/>
          <w:sz w:val="20"/>
          <w:szCs w:val="20"/>
        </w:rPr>
        <w:t>Here, we disclose the two indicators "</w:t>
      </w:r>
      <w:r w:rsidR="004302B5" w:rsidRPr="009660DC">
        <w:rPr>
          <w:rFonts w:cstheme="minorHAnsi"/>
          <w:sz w:val="20"/>
          <w:szCs w:val="20"/>
        </w:rPr>
        <w:t>exposure to</w:t>
      </w:r>
      <w:r w:rsidRPr="009660DC">
        <w:rPr>
          <w:rFonts w:cstheme="minorHAnsi"/>
          <w:sz w:val="20"/>
          <w:szCs w:val="20"/>
        </w:rPr>
        <w:t xml:space="preserve"> areas </w:t>
      </w:r>
      <w:r w:rsidR="004302B5" w:rsidRPr="009660DC">
        <w:rPr>
          <w:rFonts w:cstheme="minorHAnsi"/>
          <w:sz w:val="20"/>
          <w:szCs w:val="20"/>
        </w:rPr>
        <w:t>of</w:t>
      </w:r>
      <w:r w:rsidRPr="009660DC">
        <w:rPr>
          <w:rFonts w:cstheme="minorHAnsi"/>
          <w:sz w:val="20"/>
          <w:szCs w:val="20"/>
        </w:rPr>
        <w:t xml:space="preserve"> </w:t>
      </w:r>
      <w:r w:rsidR="009660DC" w:rsidRPr="009660DC">
        <w:rPr>
          <w:rFonts w:cstheme="minorHAnsi"/>
          <w:sz w:val="20"/>
          <w:szCs w:val="20"/>
        </w:rPr>
        <w:t>high-water</w:t>
      </w:r>
      <w:r w:rsidRPr="009660DC">
        <w:rPr>
          <w:rFonts w:cstheme="minorHAnsi"/>
          <w:sz w:val="20"/>
          <w:szCs w:val="20"/>
        </w:rPr>
        <w:t xml:space="preserve"> stress" and "</w:t>
      </w:r>
      <w:r w:rsidR="004302B5" w:rsidRPr="009660DC">
        <w:rPr>
          <w:rFonts w:cstheme="minorHAnsi"/>
          <w:sz w:val="20"/>
          <w:szCs w:val="20"/>
        </w:rPr>
        <w:t>Rate of a</w:t>
      </w:r>
      <w:r w:rsidRPr="009660DC">
        <w:rPr>
          <w:rFonts w:cstheme="minorHAnsi"/>
          <w:sz w:val="20"/>
          <w:szCs w:val="20"/>
        </w:rPr>
        <w:t>ccident</w:t>
      </w:r>
      <w:r w:rsidR="004302B5" w:rsidRPr="009660DC">
        <w:rPr>
          <w:rFonts w:cstheme="minorHAnsi"/>
          <w:sz w:val="20"/>
          <w:szCs w:val="20"/>
        </w:rPr>
        <w:t>s</w:t>
      </w:r>
      <w:r w:rsidRPr="009660DC">
        <w:rPr>
          <w:rFonts w:cstheme="minorHAnsi"/>
          <w:sz w:val="20"/>
          <w:szCs w:val="20"/>
        </w:rPr>
        <w:t>".</w:t>
      </w:r>
    </w:p>
    <w:p w14:paraId="1A019B0E" w14:textId="77777777" w:rsidR="00D57CBD" w:rsidRPr="009660DC" w:rsidRDefault="00D57CBD" w:rsidP="00FD7C0A">
      <w:pPr>
        <w:spacing w:after="120"/>
        <w:jc w:val="both"/>
        <w:rPr>
          <w:rFonts w:cstheme="minorHAnsi"/>
          <w:sz w:val="20"/>
          <w:szCs w:val="20"/>
        </w:rPr>
      </w:pPr>
    </w:p>
    <w:p w14:paraId="50E4FF50" w14:textId="0B595C60" w:rsidR="0005719B" w:rsidRPr="009660DC" w:rsidRDefault="0005719B" w:rsidP="00FD7C0A">
      <w:pPr>
        <w:spacing w:after="120"/>
        <w:jc w:val="both"/>
        <w:rPr>
          <w:rFonts w:cstheme="minorHAnsi"/>
          <w:sz w:val="20"/>
          <w:szCs w:val="20"/>
        </w:rPr>
      </w:pPr>
      <w:r w:rsidRPr="009660DC">
        <w:rPr>
          <w:rFonts w:cstheme="minorHAnsi"/>
          <w:sz w:val="20"/>
          <w:szCs w:val="20"/>
        </w:rPr>
        <w:t xml:space="preserve">All investment decisions are based on </w:t>
      </w:r>
      <w:r w:rsidR="009D094B" w:rsidRPr="009660DC">
        <w:rPr>
          <w:rFonts w:cstheme="minorHAnsi"/>
          <w:sz w:val="20"/>
          <w:szCs w:val="20"/>
        </w:rPr>
        <w:t>our</w:t>
      </w:r>
      <w:r w:rsidRPr="009660DC">
        <w:rPr>
          <w:rFonts w:cstheme="minorHAnsi"/>
          <w:sz w:val="20"/>
          <w:szCs w:val="20"/>
        </w:rPr>
        <w:t xml:space="preserve"> internal investment principles and </w:t>
      </w:r>
      <w:r w:rsidR="009D094B" w:rsidRPr="009660DC">
        <w:rPr>
          <w:rFonts w:cstheme="minorHAnsi"/>
          <w:sz w:val="20"/>
          <w:szCs w:val="20"/>
        </w:rPr>
        <w:t>guidelines that apply to the en</w:t>
      </w:r>
      <w:r w:rsidRPr="009660DC">
        <w:rPr>
          <w:rFonts w:cstheme="minorHAnsi"/>
          <w:sz w:val="20"/>
          <w:szCs w:val="20"/>
        </w:rPr>
        <w:t xml:space="preserve">tire investment portfolio of </w:t>
      </w:r>
      <w:r w:rsidR="00C72365" w:rsidRPr="009660DC">
        <w:rPr>
          <w:rFonts w:cstheme="minorHAnsi"/>
          <w:sz w:val="20"/>
          <w:szCs w:val="20"/>
        </w:rPr>
        <w:t>ERGO</w:t>
      </w:r>
      <w:r w:rsidRPr="009660DC">
        <w:rPr>
          <w:rFonts w:cstheme="minorHAnsi"/>
          <w:sz w:val="20"/>
          <w:szCs w:val="20"/>
        </w:rPr>
        <w:t>. It is not relevant whether the investments are managed by the company itself, by the Group's own asset manager MEAG or by a third party.</w:t>
      </w:r>
      <w:r w:rsidR="009D094B" w:rsidRPr="009660DC">
        <w:rPr>
          <w:rFonts w:cstheme="minorHAnsi"/>
          <w:sz w:val="20"/>
          <w:szCs w:val="20"/>
        </w:rPr>
        <w:t xml:space="preserve"> However, the investment princi</w:t>
      </w:r>
      <w:r w:rsidRPr="009660DC">
        <w:rPr>
          <w:rFonts w:cstheme="minorHAnsi"/>
          <w:sz w:val="20"/>
          <w:szCs w:val="20"/>
        </w:rPr>
        <w:t>ples do not apply to investment products (</w:t>
      </w:r>
      <w:proofErr w:type="gramStart"/>
      <w:r w:rsidRPr="009660DC">
        <w:rPr>
          <w:rFonts w:cstheme="minorHAnsi"/>
          <w:sz w:val="20"/>
          <w:szCs w:val="20"/>
        </w:rPr>
        <w:t>e.g.</w:t>
      </w:r>
      <w:proofErr w:type="gramEnd"/>
      <w:r w:rsidRPr="009660DC">
        <w:rPr>
          <w:rFonts w:cstheme="minorHAnsi"/>
          <w:sz w:val="20"/>
          <w:szCs w:val="20"/>
        </w:rPr>
        <w:t xml:space="preserve"> mutual funds) whose contents cannot be influenced. In these cases, the selection of products is most important.</w:t>
      </w:r>
    </w:p>
    <w:p w14:paraId="539AA345" w14:textId="4AA63231" w:rsidR="0005719B" w:rsidRPr="009660DC" w:rsidRDefault="0005719B" w:rsidP="0005719B">
      <w:pPr>
        <w:spacing w:after="120"/>
        <w:jc w:val="both"/>
        <w:rPr>
          <w:rFonts w:cstheme="minorHAnsi"/>
          <w:sz w:val="20"/>
          <w:szCs w:val="20"/>
        </w:rPr>
      </w:pPr>
      <w:r w:rsidRPr="009660DC">
        <w:rPr>
          <w:rFonts w:cstheme="minorHAnsi"/>
          <w:sz w:val="20"/>
          <w:szCs w:val="20"/>
        </w:rPr>
        <w:t>Furthermore, risks are reduced through the targeted selection of investment o</w:t>
      </w:r>
      <w:r w:rsidR="009D094B" w:rsidRPr="009660DC">
        <w:rPr>
          <w:rFonts w:cstheme="minorHAnsi"/>
          <w:sz w:val="20"/>
          <w:szCs w:val="20"/>
        </w:rPr>
        <w:t>bjects, as well as by diversify</w:t>
      </w:r>
      <w:r w:rsidRPr="009660DC">
        <w:rPr>
          <w:rFonts w:cstheme="minorHAnsi"/>
          <w:sz w:val="20"/>
          <w:szCs w:val="20"/>
        </w:rPr>
        <w:t>ing risks</w:t>
      </w:r>
      <w:r w:rsidR="009D094B" w:rsidRPr="009660DC">
        <w:rPr>
          <w:rFonts w:cstheme="minorHAnsi"/>
          <w:sz w:val="20"/>
          <w:szCs w:val="20"/>
        </w:rPr>
        <w:t>.</w:t>
      </w:r>
      <w:r w:rsidRPr="009660DC">
        <w:rPr>
          <w:rFonts w:cstheme="minorHAnsi"/>
          <w:sz w:val="20"/>
          <w:szCs w:val="20"/>
        </w:rPr>
        <w:t xml:space="preserve"> Relevant sustainability risks that can have a significant negative impact on the return of an investment are </w:t>
      </w:r>
      <w:proofErr w:type="gramStart"/>
      <w:r w:rsidRPr="009660DC">
        <w:rPr>
          <w:rFonts w:cstheme="minorHAnsi"/>
          <w:sz w:val="20"/>
          <w:szCs w:val="20"/>
        </w:rPr>
        <w:t>taken into account</w:t>
      </w:r>
      <w:proofErr w:type="gramEnd"/>
      <w:r w:rsidRPr="009660DC">
        <w:rPr>
          <w:rFonts w:cstheme="minorHAnsi"/>
          <w:sz w:val="20"/>
          <w:szCs w:val="20"/>
        </w:rPr>
        <w:t xml:space="preserve">. The same is true for the main adverse effects of an investment decision on sustainability factors. Limit systems and control mechanisms ensure that the weighting of individual issuers, assets or markets does not accumulate too much. </w:t>
      </w:r>
    </w:p>
    <w:p w14:paraId="59F7285A" w14:textId="77777777" w:rsidR="0005719B" w:rsidRPr="009660DC" w:rsidRDefault="0005719B" w:rsidP="0005719B">
      <w:pPr>
        <w:spacing w:after="120"/>
        <w:jc w:val="both"/>
        <w:rPr>
          <w:rFonts w:cstheme="minorHAnsi"/>
          <w:sz w:val="20"/>
          <w:szCs w:val="20"/>
        </w:rPr>
      </w:pPr>
      <w:r w:rsidRPr="009660DC">
        <w:rPr>
          <w:rFonts w:cstheme="minorHAnsi"/>
          <w:sz w:val="20"/>
          <w:szCs w:val="20"/>
        </w:rPr>
        <w:t xml:space="preserve">A comprehensive early warning system ensures that obligations to customers can be </w:t>
      </w:r>
      <w:proofErr w:type="gramStart"/>
      <w:r w:rsidRPr="009660DC">
        <w:rPr>
          <w:rFonts w:cstheme="minorHAnsi"/>
          <w:sz w:val="20"/>
          <w:szCs w:val="20"/>
        </w:rPr>
        <w:t>met at all times</w:t>
      </w:r>
      <w:proofErr w:type="gramEnd"/>
      <w:r w:rsidRPr="009660DC">
        <w:rPr>
          <w:rFonts w:cstheme="minorHAnsi"/>
          <w:sz w:val="20"/>
          <w:szCs w:val="20"/>
        </w:rPr>
        <w:t xml:space="preserve"> and over the long term. In addition, the risk situation is reviewed on an ongoing basis so that countermeasures can be taken in the event of </w:t>
      </w:r>
      <w:proofErr w:type="gramStart"/>
      <w:r w:rsidRPr="009660DC">
        <w:rPr>
          <w:rFonts w:cstheme="minorHAnsi"/>
          <w:sz w:val="20"/>
          <w:szCs w:val="20"/>
        </w:rPr>
        <w:t>particular hazards</w:t>
      </w:r>
      <w:proofErr w:type="gramEnd"/>
      <w:r w:rsidRPr="009660DC">
        <w:rPr>
          <w:rFonts w:cstheme="minorHAnsi"/>
          <w:sz w:val="20"/>
          <w:szCs w:val="20"/>
        </w:rPr>
        <w:t>.</w:t>
      </w:r>
    </w:p>
    <w:p w14:paraId="564D9EB9" w14:textId="3BFD6B06" w:rsidR="0005719B" w:rsidRPr="009660DC" w:rsidRDefault="0005719B" w:rsidP="0005719B">
      <w:pPr>
        <w:spacing w:after="120"/>
        <w:jc w:val="both"/>
        <w:rPr>
          <w:rFonts w:cstheme="minorHAnsi"/>
          <w:sz w:val="20"/>
          <w:szCs w:val="20"/>
        </w:rPr>
      </w:pPr>
      <w:r w:rsidRPr="009660DC">
        <w:rPr>
          <w:rFonts w:cstheme="minorHAnsi"/>
          <w:sz w:val="20"/>
          <w:szCs w:val="20"/>
        </w:rPr>
        <w:t xml:space="preserve">Risk management is done in such a way that the risk categories market risk (incl. currency risk, concentration risk), counterparty default/credit risk, operational risk, strategic </w:t>
      </w:r>
      <w:proofErr w:type="gramStart"/>
      <w:r w:rsidRPr="009660DC">
        <w:rPr>
          <w:rFonts w:cstheme="minorHAnsi"/>
          <w:sz w:val="20"/>
          <w:szCs w:val="20"/>
        </w:rPr>
        <w:t>risk</w:t>
      </w:r>
      <w:proofErr w:type="gramEnd"/>
      <w:r w:rsidRPr="009660DC">
        <w:rPr>
          <w:rFonts w:cstheme="minorHAnsi"/>
          <w:sz w:val="20"/>
          <w:szCs w:val="20"/>
        </w:rPr>
        <w:t xml:space="preserve"> and liquidity risk, show in good time how the investments change in connection with the outstan</w:t>
      </w:r>
      <w:r w:rsidR="00D57CBD" w:rsidRPr="009660DC">
        <w:rPr>
          <w:rFonts w:cstheme="minorHAnsi"/>
          <w:sz w:val="20"/>
          <w:szCs w:val="20"/>
        </w:rPr>
        <w:t>ding obligations. As sustainability</w:t>
      </w:r>
      <w:r w:rsidRPr="009660DC">
        <w:rPr>
          <w:rFonts w:cstheme="minorHAnsi"/>
          <w:sz w:val="20"/>
          <w:szCs w:val="20"/>
        </w:rPr>
        <w:t xml:space="preserve"> aspects are generally included in the risk assessment, adverse effects on sustainability factors are included in each risk category. </w:t>
      </w:r>
    </w:p>
    <w:p w14:paraId="1F97F5EA" w14:textId="77777777" w:rsidR="00275CDB" w:rsidRPr="009660DC" w:rsidRDefault="00275CDB" w:rsidP="00B012A6">
      <w:pPr>
        <w:spacing w:after="120"/>
        <w:jc w:val="both"/>
        <w:rPr>
          <w:rFonts w:cstheme="minorHAnsi"/>
          <w:sz w:val="20"/>
          <w:szCs w:val="20"/>
        </w:rPr>
      </w:pPr>
    </w:p>
    <w:p w14:paraId="128C79E7" w14:textId="315E62FA" w:rsidR="000A1E9F" w:rsidRPr="009660DC" w:rsidRDefault="0005719B" w:rsidP="00B012A6">
      <w:pPr>
        <w:spacing w:after="120"/>
        <w:jc w:val="both"/>
        <w:rPr>
          <w:rFonts w:cstheme="minorHAnsi"/>
          <w:sz w:val="20"/>
          <w:szCs w:val="20"/>
        </w:rPr>
      </w:pPr>
      <w:r w:rsidRPr="009660DC">
        <w:rPr>
          <w:rFonts w:cstheme="minorHAnsi"/>
          <w:sz w:val="20"/>
          <w:szCs w:val="20"/>
        </w:rPr>
        <w:t>The following diagram shows how sustainability topics are included in the investment process for the different asset classes.</w:t>
      </w:r>
    </w:p>
    <w:p w14:paraId="138A5690" w14:textId="0A024E62" w:rsidR="00B012A6" w:rsidRPr="009660DC" w:rsidRDefault="0067209E" w:rsidP="00187579">
      <w:pPr>
        <w:spacing w:after="120"/>
        <w:jc w:val="center"/>
        <w:rPr>
          <w:rFonts w:ascii="FS Me" w:hAnsi="FS Me" w:cstheme="majorHAnsi"/>
          <w:sz w:val="18"/>
          <w:szCs w:val="18"/>
        </w:rPr>
      </w:pPr>
      <w:r w:rsidRPr="009660DC">
        <w:rPr>
          <w:noProof/>
          <w:lang w:eastAsia="de-DE"/>
        </w:rPr>
        <w:lastRenderedPageBreak/>
        <w:drawing>
          <wp:inline distT="0" distB="0" distL="0" distR="0" wp14:anchorId="1585BA47" wp14:editId="7684E9ED">
            <wp:extent cx="6210935" cy="27666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10935" cy="2766695"/>
                    </a:xfrm>
                    <a:prstGeom prst="rect">
                      <a:avLst/>
                    </a:prstGeom>
                  </pic:spPr>
                </pic:pic>
              </a:graphicData>
            </a:graphic>
          </wp:inline>
        </w:drawing>
      </w:r>
    </w:p>
    <w:p w14:paraId="464E8B2B" w14:textId="4B270E52" w:rsidR="00B27C13" w:rsidRPr="009660DC" w:rsidRDefault="00B27C13" w:rsidP="00507662">
      <w:pPr>
        <w:spacing w:after="120"/>
        <w:jc w:val="both"/>
        <w:rPr>
          <w:rFonts w:ascii="FS Me" w:hAnsi="FS Me" w:cstheme="majorHAnsi"/>
          <w:sz w:val="18"/>
          <w:szCs w:val="18"/>
        </w:rPr>
      </w:pPr>
    </w:p>
    <w:p w14:paraId="7D84E346" w14:textId="35E6BA2A" w:rsidR="0067209E" w:rsidRPr="009660DC" w:rsidRDefault="0067209E" w:rsidP="0067209E">
      <w:pPr>
        <w:spacing w:after="120"/>
        <w:jc w:val="both"/>
        <w:rPr>
          <w:rFonts w:cstheme="minorHAnsi"/>
          <w:sz w:val="20"/>
          <w:szCs w:val="20"/>
        </w:rPr>
      </w:pPr>
      <w:r w:rsidRPr="009660DC">
        <w:rPr>
          <w:rFonts w:cstheme="minorHAnsi"/>
          <w:sz w:val="20"/>
          <w:szCs w:val="20"/>
        </w:rPr>
        <w:t xml:space="preserve">For liquid asset classes such as equities, corporates, </w:t>
      </w:r>
      <w:proofErr w:type="gramStart"/>
      <w:r w:rsidRPr="009660DC">
        <w:rPr>
          <w:rFonts w:cstheme="minorHAnsi"/>
          <w:sz w:val="20"/>
          <w:szCs w:val="20"/>
        </w:rPr>
        <w:t>government</w:t>
      </w:r>
      <w:proofErr w:type="gramEnd"/>
      <w:r w:rsidRPr="009660DC">
        <w:rPr>
          <w:rFonts w:cstheme="minorHAnsi"/>
          <w:sz w:val="20"/>
          <w:szCs w:val="20"/>
        </w:rPr>
        <w:t xml:space="preserve"> or covered bonds, we enable an ESG screening for the vast majority of these assets. We aim to cover over 80% of these assets on a Munich Re Group level with ESG screenings. </w:t>
      </w:r>
    </w:p>
    <w:p w14:paraId="2B30876B" w14:textId="022D4722" w:rsidR="0067209E" w:rsidRPr="009660DC" w:rsidRDefault="00C72365" w:rsidP="0067209E">
      <w:pPr>
        <w:spacing w:after="120"/>
        <w:jc w:val="both"/>
        <w:rPr>
          <w:rFonts w:cstheme="minorHAnsi"/>
          <w:sz w:val="20"/>
          <w:szCs w:val="20"/>
        </w:rPr>
      </w:pPr>
      <w:r w:rsidRPr="009660DC">
        <w:rPr>
          <w:rFonts w:cstheme="minorHAnsi"/>
          <w:sz w:val="20"/>
          <w:szCs w:val="20"/>
        </w:rPr>
        <w:t>ERGO</w:t>
      </w:r>
      <w:r w:rsidR="0067209E" w:rsidRPr="009660DC">
        <w:rPr>
          <w:rFonts w:cstheme="minorHAnsi"/>
          <w:sz w:val="20"/>
          <w:szCs w:val="20"/>
        </w:rPr>
        <w:t xml:space="preserve"> is aware that the requirements in the ESG context are increasing. Therefore, the current approach will continuously be refined </w:t>
      </w:r>
      <w:proofErr w:type="gramStart"/>
      <w:r w:rsidR="0067209E" w:rsidRPr="009660DC">
        <w:rPr>
          <w:rFonts w:cstheme="minorHAnsi"/>
          <w:sz w:val="20"/>
          <w:szCs w:val="20"/>
        </w:rPr>
        <w:t>taking into account</w:t>
      </w:r>
      <w:proofErr w:type="gramEnd"/>
      <w:r w:rsidR="0067209E" w:rsidRPr="009660DC">
        <w:rPr>
          <w:rFonts w:cstheme="minorHAnsi"/>
          <w:sz w:val="20"/>
          <w:szCs w:val="20"/>
        </w:rPr>
        <w:t xml:space="preserve"> the changing regulatory environment and additional demands from customers.</w:t>
      </w:r>
    </w:p>
    <w:p w14:paraId="7F66D71B" w14:textId="3C83A071" w:rsidR="002635D0" w:rsidRPr="009660DC" w:rsidRDefault="002635D0" w:rsidP="00DC4872">
      <w:pPr>
        <w:pStyle w:val="Default"/>
        <w:spacing w:after="120"/>
        <w:jc w:val="both"/>
        <w:rPr>
          <w:rFonts w:asciiTheme="minorHAnsi" w:hAnsiTheme="minorHAnsi" w:cstheme="minorHAnsi"/>
          <w:b/>
          <w:bCs/>
          <w:color w:val="auto"/>
          <w:sz w:val="20"/>
          <w:szCs w:val="20"/>
          <w:lang w:val="en-US"/>
        </w:rPr>
      </w:pPr>
    </w:p>
    <w:p w14:paraId="2447E9ED" w14:textId="77777777" w:rsidR="00AE4A1C" w:rsidRPr="009660DC" w:rsidRDefault="00AE4A1C" w:rsidP="00AE4A1C">
      <w:pPr>
        <w:pStyle w:val="Default"/>
        <w:spacing w:after="120"/>
        <w:jc w:val="both"/>
        <w:rPr>
          <w:rFonts w:asciiTheme="minorHAnsi" w:hAnsiTheme="minorHAnsi" w:cstheme="minorHAnsi"/>
          <w:b/>
          <w:bCs/>
          <w:color w:val="auto"/>
          <w:sz w:val="20"/>
          <w:szCs w:val="20"/>
          <w:lang w:val="en-US"/>
        </w:rPr>
      </w:pPr>
      <w:r w:rsidRPr="009660DC">
        <w:rPr>
          <w:rFonts w:asciiTheme="minorHAnsi" w:hAnsiTheme="minorHAnsi" w:cstheme="minorHAnsi"/>
          <w:b/>
          <w:bCs/>
          <w:color w:val="auto"/>
          <w:sz w:val="20"/>
          <w:szCs w:val="20"/>
          <w:lang w:val="en-US"/>
        </w:rPr>
        <w:t>Engagement policies</w:t>
      </w:r>
    </w:p>
    <w:p w14:paraId="6BC0690F" w14:textId="425C75F6" w:rsidR="00261199" w:rsidRPr="009660DC" w:rsidRDefault="00AE4A1C" w:rsidP="00261199">
      <w:pPr>
        <w:pStyle w:val="NormalWeb"/>
        <w:spacing w:before="0" w:beforeAutospacing="0" w:after="120" w:afterAutospacing="0"/>
        <w:jc w:val="both"/>
        <w:rPr>
          <w:rFonts w:asciiTheme="minorHAnsi" w:eastAsiaTheme="minorHAnsi" w:hAnsiTheme="minorHAnsi" w:cstheme="minorHAnsi"/>
          <w:sz w:val="20"/>
          <w:szCs w:val="20"/>
          <w:lang w:val="en-US"/>
        </w:rPr>
      </w:pPr>
      <w:r w:rsidRPr="009660DC">
        <w:rPr>
          <w:rFonts w:asciiTheme="minorHAnsi" w:eastAsiaTheme="minorHAnsi" w:hAnsiTheme="minorHAnsi" w:cstheme="minorHAnsi"/>
          <w:sz w:val="20"/>
          <w:szCs w:val="20"/>
          <w:lang w:val="en-US"/>
        </w:rPr>
        <w:t xml:space="preserve">Our Group engages target companies either individually or via collaborative engagements. </w:t>
      </w:r>
      <w:r w:rsidR="00261199" w:rsidRPr="009660DC">
        <w:rPr>
          <w:rFonts w:asciiTheme="minorHAnsi" w:eastAsiaTheme="minorHAnsi" w:hAnsiTheme="minorHAnsi" w:cstheme="minorHAnsi"/>
          <w:sz w:val="20"/>
          <w:szCs w:val="20"/>
          <w:lang w:val="en-US"/>
        </w:rPr>
        <w:t xml:space="preserve">One platform of collaborative engagement is Climate Action 100+, joined by Munich Re and MEAG in 2020, </w:t>
      </w:r>
      <w:r w:rsidR="009D4096" w:rsidRPr="009660DC">
        <w:rPr>
          <w:rFonts w:asciiTheme="minorHAnsi" w:eastAsiaTheme="minorHAnsi" w:hAnsiTheme="minorHAnsi" w:cstheme="minorHAnsi"/>
          <w:sz w:val="20"/>
          <w:szCs w:val="20"/>
          <w:lang w:val="en-US"/>
        </w:rPr>
        <w:t>which is one of the largest investor-led initiatives worldwide. W</w:t>
      </w:r>
      <w:r w:rsidR="00261199" w:rsidRPr="009660DC">
        <w:rPr>
          <w:rFonts w:asciiTheme="minorHAnsi" w:eastAsiaTheme="minorHAnsi" w:hAnsiTheme="minorHAnsi" w:cstheme="minorHAnsi"/>
          <w:sz w:val="20"/>
          <w:szCs w:val="20"/>
          <w:lang w:val="en-US"/>
        </w:rPr>
        <w:t xml:space="preserve">e are convinced that positive change is achieved through a constructive dialogue with our investees and issuers. Our engagements focus on a lasting improvement of ESG criteria. </w:t>
      </w:r>
    </w:p>
    <w:p w14:paraId="4F8B5D4F" w14:textId="69739D8A" w:rsidR="00261199" w:rsidRPr="009660DC" w:rsidRDefault="00261199" w:rsidP="00261199">
      <w:pPr>
        <w:pStyle w:val="NormalWeb"/>
        <w:spacing w:before="0" w:beforeAutospacing="0" w:after="120" w:afterAutospacing="0"/>
        <w:jc w:val="both"/>
        <w:rPr>
          <w:rFonts w:asciiTheme="minorHAnsi" w:eastAsiaTheme="minorHAnsi" w:hAnsiTheme="minorHAnsi" w:cstheme="minorHAnsi"/>
          <w:sz w:val="20"/>
          <w:szCs w:val="20"/>
          <w:lang w:val="en-US"/>
        </w:rPr>
      </w:pPr>
      <w:r w:rsidRPr="009660DC">
        <w:rPr>
          <w:rFonts w:asciiTheme="minorHAnsi" w:eastAsiaTheme="minorHAnsi" w:hAnsiTheme="minorHAnsi" w:cstheme="minorHAnsi"/>
          <w:sz w:val="20"/>
          <w:szCs w:val="20"/>
          <w:lang w:val="en-US"/>
        </w:rPr>
        <w:t>In the engagement dialogue, we address material topics like high standards of corporate governance, and responsible management of environmental and social aspects. One focus is on climate-related topics relating to the targets set within the climate strategy.</w:t>
      </w:r>
      <w:r w:rsidR="00AE4A1C" w:rsidRPr="009660DC">
        <w:rPr>
          <w:rFonts w:asciiTheme="minorHAnsi" w:eastAsiaTheme="minorHAnsi" w:hAnsiTheme="minorHAnsi" w:cstheme="minorHAnsi"/>
          <w:sz w:val="20"/>
          <w:szCs w:val="20"/>
          <w:lang w:val="en-US"/>
        </w:rPr>
        <w:t xml:space="preserve"> </w:t>
      </w:r>
    </w:p>
    <w:p w14:paraId="30877917" w14:textId="16F1CE9A" w:rsidR="00261199" w:rsidRPr="009660DC" w:rsidRDefault="00261199" w:rsidP="00261199">
      <w:pPr>
        <w:pStyle w:val="NormalWeb"/>
        <w:spacing w:before="0" w:beforeAutospacing="0" w:after="120" w:afterAutospacing="0"/>
        <w:jc w:val="both"/>
        <w:rPr>
          <w:rFonts w:asciiTheme="minorHAnsi" w:hAnsiTheme="minorHAnsi" w:cstheme="minorHAnsi"/>
          <w:sz w:val="20"/>
          <w:szCs w:val="20"/>
          <w:lang w:val="en-US"/>
        </w:rPr>
      </w:pPr>
      <w:r w:rsidRPr="009660DC">
        <w:rPr>
          <w:rFonts w:asciiTheme="minorHAnsi" w:hAnsiTheme="minorHAnsi" w:cstheme="minorHAnsi"/>
          <w:sz w:val="20"/>
          <w:szCs w:val="20"/>
          <w:lang w:val="en-US"/>
        </w:rPr>
        <w:t xml:space="preserve">When the Group's own asset manager MEAG exercises voting rights by proxy at annual general meetings of invested companies, ESG criteria are also </w:t>
      </w:r>
      <w:proofErr w:type="gramStart"/>
      <w:r w:rsidRPr="009660DC">
        <w:rPr>
          <w:rFonts w:asciiTheme="minorHAnsi" w:hAnsiTheme="minorHAnsi" w:cstheme="minorHAnsi"/>
          <w:sz w:val="20"/>
          <w:szCs w:val="20"/>
          <w:lang w:val="en-US"/>
        </w:rPr>
        <w:t>taken into account</w:t>
      </w:r>
      <w:proofErr w:type="gramEnd"/>
      <w:r w:rsidRPr="009660DC">
        <w:rPr>
          <w:rFonts w:asciiTheme="minorHAnsi" w:hAnsiTheme="minorHAnsi" w:cstheme="minorHAnsi"/>
          <w:sz w:val="20"/>
          <w:szCs w:val="20"/>
          <w:lang w:val="en-US"/>
        </w:rPr>
        <w:t xml:space="preserve">. </w:t>
      </w:r>
    </w:p>
    <w:p w14:paraId="20A12DE4" w14:textId="77777777" w:rsidR="00AE4A1C" w:rsidRPr="009660DC" w:rsidRDefault="00AE4A1C" w:rsidP="00AE4A1C">
      <w:pPr>
        <w:pStyle w:val="Default"/>
        <w:spacing w:before="240" w:after="120"/>
        <w:jc w:val="both"/>
        <w:rPr>
          <w:rFonts w:asciiTheme="minorHAnsi" w:hAnsiTheme="minorHAnsi" w:cstheme="minorHAnsi"/>
          <w:b/>
          <w:bCs/>
          <w:color w:val="auto"/>
          <w:sz w:val="20"/>
          <w:szCs w:val="20"/>
          <w:lang w:val="en-US"/>
        </w:rPr>
      </w:pPr>
      <w:r w:rsidRPr="009660DC">
        <w:rPr>
          <w:rFonts w:asciiTheme="minorHAnsi" w:hAnsiTheme="minorHAnsi" w:cstheme="minorHAnsi"/>
          <w:b/>
          <w:bCs/>
          <w:color w:val="auto"/>
          <w:sz w:val="20"/>
          <w:szCs w:val="20"/>
          <w:lang w:val="en-US"/>
        </w:rPr>
        <w:t>References to international standards</w:t>
      </w:r>
    </w:p>
    <w:p w14:paraId="2EAB64F8" w14:textId="69E67186" w:rsidR="00AE4A1C" w:rsidRPr="009660DC" w:rsidRDefault="00AE4A1C" w:rsidP="00AE4A1C">
      <w:pPr>
        <w:spacing w:after="120"/>
        <w:rPr>
          <w:rFonts w:cstheme="minorHAnsi"/>
          <w:iCs/>
          <w:sz w:val="20"/>
          <w:szCs w:val="20"/>
        </w:rPr>
      </w:pPr>
      <w:r w:rsidRPr="009660DC">
        <w:rPr>
          <w:rFonts w:cstheme="minorHAnsi"/>
          <w:iCs/>
          <w:sz w:val="20"/>
          <w:szCs w:val="20"/>
        </w:rPr>
        <w:t>Our dedication to conducting our business responsibly is underlined by our long-standing commitment to key industry initiatives, including the Principles for Sustainable Insurance (PSI), and by signing the UN Global Compact.</w:t>
      </w:r>
    </w:p>
    <w:p w14:paraId="004D4F05" w14:textId="32F07B58" w:rsidR="00AE4A1C" w:rsidRPr="009660DC" w:rsidRDefault="00AE4A1C" w:rsidP="00AE4A1C">
      <w:pPr>
        <w:spacing w:after="120"/>
        <w:jc w:val="both"/>
        <w:rPr>
          <w:rFonts w:cstheme="minorHAnsi"/>
          <w:sz w:val="20"/>
          <w:szCs w:val="20"/>
        </w:rPr>
      </w:pPr>
      <w:r w:rsidRPr="009660DC">
        <w:rPr>
          <w:rFonts w:cstheme="minorHAnsi"/>
          <w:sz w:val="20"/>
          <w:szCs w:val="20"/>
        </w:rPr>
        <w:t xml:space="preserve">Munich Re is one of the first signatories to the Principles for Responsible Investments (PRI) (signed in 2006) and is committed to fulfilling the PRI in an appropriate and forward-looking manner. In this way, the Group, and thus </w:t>
      </w:r>
      <w:r w:rsidR="00C72365" w:rsidRPr="009660DC">
        <w:rPr>
          <w:rFonts w:cstheme="minorHAnsi"/>
          <w:sz w:val="20"/>
          <w:szCs w:val="20"/>
        </w:rPr>
        <w:t>ERGO</w:t>
      </w:r>
      <w:r w:rsidRPr="009660DC">
        <w:rPr>
          <w:rFonts w:cstheme="minorHAnsi"/>
          <w:sz w:val="20"/>
          <w:szCs w:val="20"/>
        </w:rPr>
        <w:t>, demonstrates to the outside world that responsibility is important when it comes to investments. The aim of this initiative is to improve understanding of the impact of investment activities on environmental, social and governance issues and to support signatories in integrating these issues into their investment decisions.</w:t>
      </w:r>
    </w:p>
    <w:p w14:paraId="30DD2CE3" w14:textId="77777777" w:rsidR="00AE4A1C" w:rsidRPr="009660DC" w:rsidRDefault="00AE4A1C" w:rsidP="00AE4A1C">
      <w:pPr>
        <w:spacing w:after="120"/>
        <w:jc w:val="both"/>
        <w:rPr>
          <w:rFonts w:cstheme="minorHAnsi"/>
          <w:sz w:val="20"/>
          <w:szCs w:val="20"/>
        </w:rPr>
      </w:pPr>
      <w:r w:rsidRPr="009660DC">
        <w:rPr>
          <w:rFonts w:cstheme="minorHAnsi"/>
          <w:sz w:val="20"/>
          <w:szCs w:val="20"/>
        </w:rPr>
        <w:t xml:space="preserve">By joining the "Net-Zero Asset Owner Alliance" in January 2020, the Group committed to reducing the CO2 emissions of its investment portfolio to net zero by 2050. In line with the goals of the Paris Climate Agreement, the investor initiative aims to contribute to limiting the global temperature increase to 1.5 °C. </w:t>
      </w:r>
    </w:p>
    <w:p w14:paraId="72423268" w14:textId="77777777" w:rsidR="00AE4A1C" w:rsidRPr="009660DC" w:rsidRDefault="00AE4A1C" w:rsidP="00AE4A1C">
      <w:pPr>
        <w:spacing w:after="120"/>
        <w:jc w:val="both"/>
        <w:rPr>
          <w:rFonts w:cstheme="minorHAnsi"/>
          <w:sz w:val="20"/>
          <w:szCs w:val="20"/>
        </w:rPr>
      </w:pPr>
      <w:r w:rsidRPr="009660DC">
        <w:rPr>
          <w:rFonts w:cstheme="minorHAnsi"/>
          <w:sz w:val="20"/>
          <w:szCs w:val="20"/>
        </w:rPr>
        <w:lastRenderedPageBreak/>
        <w:t xml:space="preserve">In addition, the Group is committed to discussing ESG risks and opportunities with the companies in which it intends to invest or has already invested. Together with other companies, Munich Re is involved in the "Climate Action 100+" for this purpose. </w:t>
      </w:r>
    </w:p>
    <w:p w14:paraId="11434A2A" w14:textId="77777777" w:rsidR="00AE4A1C" w:rsidRPr="009660DC" w:rsidRDefault="00AE4A1C" w:rsidP="00AE4A1C">
      <w:pPr>
        <w:spacing w:after="120"/>
        <w:jc w:val="both"/>
        <w:rPr>
          <w:rFonts w:cstheme="minorHAnsi"/>
          <w:sz w:val="20"/>
          <w:szCs w:val="20"/>
        </w:rPr>
      </w:pPr>
    </w:p>
    <w:p w14:paraId="7D012F1C" w14:textId="712CD981" w:rsidR="00D63D96" w:rsidRPr="009660DC" w:rsidRDefault="00AE4A1C" w:rsidP="00D63D96">
      <w:pPr>
        <w:spacing w:after="120"/>
        <w:jc w:val="both"/>
        <w:rPr>
          <w:rFonts w:cstheme="minorHAnsi"/>
          <w:b/>
          <w:bCs/>
          <w:sz w:val="20"/>
          <w:szCs w:val="20"/>
        </w:rPr>
      </w:pPr>
      <w:r w:rsidRPr="009660DC">
        <w:rPr>
          <w:rFonts w:cstheme="minorHAnsi"/>
          <w:b/>
          <w:bCs/>
          <w:sz w:val="20"/>
          <w:szCs w:val="20"/>
        </w:rPr>
        <w:t>Historical Comparison</w:t>
      </w:r>
    </w:p>
    <w:p w14:paraId="6A136E58" w14:textId="77777777" w:rsidR="00424F95" w:rsidRPr="009660DC" w:rsidRDefault="00AE4A1C">
      <w:pPr>
        <w:rPr>
          <w:rFonts w:cstheme="minorHAnsi"/>
          <w:sz w:val="20"/>
          <w:szCs w:val="20"/>
        </w:rPr>
      </w:pPr>
      <w:r w:rsidRPr="009660DC">
        <w:rPr>
          <w:rFonts w:cstheme="minorHAnsi"/>
          <w:sz w:val="20"/>
          <w:szCs w:val="20"/>
        </w:rPr>
        <w:t>This statement on principal adverse impacts on sustainability factors relates to the reference period from 1 January to 31 December 2022. It is created for the first time. A historical comparison will be made in the following years.</w:t>
      </w:r>
    </w:p>
    <w:sectPr w:rsidR="00424F95" w:rsidRPr="009660DC" w:rsidSect="00ED120B">
      <w:headerReference w:type="default" r:id="rId17"/>
      <w:footerReference w:type="default" r:id="rId18"/>
      <w:pgSz w:w="11907" w:h="16839" w:code="9"/>
      <w:pgMar w:top="1134" w:right="992"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0390" w14:textId="77777777" w:rsidR="00F0692C" w:rsidRDefault="00F0692C" w:rsidP="00473545">
      <w:r>
        <w:separator/>
      </w:r>
    </w:p>
  </w:endnote>
  <w:endnote w:type="continuationSeparator" w:id="0">
    <w:p w14:paraId="01AB9B8C" w14:textId="77777777" w:rsidR="00F0692C" w:rsidRDefault="00F0692C" w:rsidP="0047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800000AF" w:usb1="4000204A" w:usb2="00000000" w:usb3="00000000" w:csb0="0000009B" w:csb1="00000000"/>
  </w:font>
  <w:font w:name="Arial">
    <w:panose1 w:val="020B0604020202020204"/>
    <w:charset w:val="BA"/>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2406" w14:textId="338CDB26" w:rsidR="00473545" w:rsidRPr="001164C0" w:rsidRDefault="00040C23">
    <w:pPr>
      <w:pStyle w:val="Footer"/>
      <w:rPr>
        <w:rFonts w:ascii="FS Me" w:hAnsi="FS Me"/>
        <w:color w:val="8F8983" w:themeColor="accent2"/>
        <w:sz w:val="18"/>
        <w:szCs w:val="18"/>
      </w:rPr>
    </w:pPr>
    <w:r>
      <w:rPr>
        <w:rFonts w:ascii="FS Me" w:hAnsi="FS Me"/>
        <w:color w:val="8F8983" w:themeColor="accent2"/>
        <w:sz w:val="18"/>
        <w:szCs w:val="18"/>
      </w:rPr>
      <w:tab/>
    </w:r>
    <w:r>
      <w:rPr>
        <w:rFonts w:ascii="FS Me" w:hAnsi="FS Me"/>
        <w:color w:val="8F8983" w:themeColor="accent2"/>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DED1" w14:textId="21665AC9" w:rsidR="008E540C" w:rsidRPr="001164C0" w:rsidRDefault="008E540C">
    <w:pPr>
      <w:pStyle w:val="Footer"/>
      <w:rPr>
        <w:rFonts w:ascii="FS Me" w:hAnsi="FS Me"/>
        <w:color w:val="8F8983" w:themeColor="accent2"/>
        <w:sz w:val="18"/>
        <w:szCs w:val="18"/>
      </w:rPr>
    </w:pPr>
    <w:r>
      <w:rPr>
        <w:rFonts w:ascii="FS Me" w:hAnsi="FS Me"/>
        <w:color w:val="8F8983" w:themeColor="accent2"/>
        <w:sz w:val="18"/>
        <w:szCs w:val="18"/>
      </w:rPr>
      <w:tab/>
    </w:r>
    <w:r>
      <w:rPr>
        <w:rFonts w:ascii="FS Me" w:hAnsi="FS Me"/>
        <w:color w:val="8F8983" w:themeColor="accent2"/>
        <w:sz w:val="18"/>
        <w:szCs w:val="18"/>
      </w:rPr>
      <w:tab/>
    </w:r>
    <w:r>
      <w:rPr>
        <w:rFonts w:ascii="FS Me" w:hAnsi="FS Me"/>
        <w:color w:val="8F8983" w:themeColor="accent2"/>
        <w:sz w:val="18"/>
        <w:szCs w:val="18"/>
      </w:rPr>
      <w:tab/>
    </w:r>
    <w:r>
      <w:rPr>
        <w:rFonts w:ascii="FS Me" w:hAnsi="FS Me"/>
        <w:color w:val="8F8983" w:themeColor="accent2"/>
        <w:sz w:val="18"/>
        <w:szCs w:val="18"/>
      </w:rPr>
      <w:tab/>
    </w:r>
    <w:r>
      <w:rPr>
        <w:rFonts w:ascii="FS Me" w:hAnsi="FS Me"/>
        <w:color w:val="8F8983" w:themeColor="accent2"/>
        <w:sz w:val="18"/>
        <w:szCs w:val="18"/>
      </w:rPr>
      <w:tab/>
    </w:r>
    <w:r>
      <w:rPr>
        <w:rFonts w:ascii="FS Me" w:hAnsi="FS Me"/>
        <w:color w:val="8F8983" w:themeColor="accent2"/>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45F7" w14:textId="42238120" w:rsidR="008E540C" w:rsidRPr="001164C0" w:rsidRDefault="008E540C">
    <w:pPr>
      <w:pStyle w:val="Footer"/>
      <w:rPr>
        <w:rFonts w:ascii="FS Me" w:hAnsi="FS Me"/>
        <w:color w:val="8F8983" w:themeColor="accent2"/>
        <w:sz w:val="18"/>
        <w:szCs w:val="18"/>
      </w:rPr>
    </w:pPr>
    <w:r>
      <w:rPr>
        <w:rFonts w:ascii="FS Me" w:hAnsi="FS Me"/>
        <w:color w:val="8F8983" w:themeColor="accent2"/>
        <w:sz w:val="18"/>
        <w:szCs w:val="18"/>
      </w:rPr>
      <w:tab/>
    </w:r>
    <w:r>
      <w:rPr>
        <w:rFonts w:ascii="FS Me" w:hAnsi="FS Me"/>
        <w:color w:val="8F8983" w:themeColor="accent2"/>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9F83" w14:textId="77777777" w:rsidR="00F0692C" w:rsidRDefault="00F0692C" w:rsidP="00473545">
      <w:r>
        <w:separator/>
      </w:r>
    </w:p>
  </w:footnote>
  <w:footnote w:type="continuationSeparator" w:id="0">
    <w:p w14:paraId="7ADC3B26" w14:textId="77777777" w:rsidR="00F0692C" w:rsidRDefault="00F0692C" w:rsidP="00473545">
      <w:r>
        <w:continuationSeparator/>
      </w:r>
    </w:p>
  </w:footnote>
  <w:footnote w:id="1">
    <w:p w14:paraId="4014F71D" w14:textId="5BFE77F7" w:rsidR="0013353A" w:rsidRPr="009660DC" w:rsidRDefault="0013353A">
      <w:pPr>
        <w:pStyle w:val="FootnoteText"/>
        <w:rPr>
          <w:sz w:val="18"/>
          <w:szCs w:val="18"/>
        </w:rPr>
      </w:pPr>
      <w:r w:rsidRPr="009660DC">
        <w:rPr>
          <w:rStyle w:val="FootnoteReference"/>
          <w:sz w:val="18"/>
          <w:szCs w:val="18"/>
        </w:rPr>
        <w:footnoteRef/>
      </w:r>
      <w:r w:rsidRPr="009660DC">
        <w:rPr>
          <w:sz w:val="18"/>
          <w:szCs w:val="18"/>
        </w:rPr>
        <w:t xml:space="preserve"> </w:t>
      </w:r>
      <w:r w:rsidR="00A56598" w:rsidRPr="009660DC">
        <w:rPr>
          <w:sz w:val="18"/>
          <w:szCs w:val="18"/>
        </w:rPr>
        <w:t>Current</w:t>
      </w:r>
      <w:r w:rsidRPr="009660DC">
        <w:rPr>
          <w:sz w:val="18"/>
          <w:szCs w:val="18"/>
        </w:rPr>
        <w:t xml:space="preserve"> statement relates to the reference period of 2022 and is created for the first time. A historical comparison will be made in the following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9C5B" w14:textId="77777777" w:rsidR="00473545" w:rsidRDefault="00473545">
    <w:pPr>
      <w:pStyle w:val="Header"/>
    </w:pPr>
  </w:p>
  <w:p w14:paraId="5E921710" w14:textId="77777777" w:rsidR="00473545" w:rsidRDefault="00473545">
    <w:pPr>
      <w:pStyle w:val="Header"/>
    </w:pPr>
  </w:p>
  <w:p w14:paraId="258BB002" w14:textId="77777777" w:rsidR="00473545" w:rsidRDefault="00473545">
    <w:pPr>
      <w:pStyle w:val="Header"/>
    </w:pPr>
  </w:p>
  <w:p w14:paraId="7AEC057B" w14:textId="77777777" w:rsidR="00473545" w:rsidRDefault="00473545">
    <w:pPr>
      <w:pStyle w:val="Header"/>
    </w:pPr>
  </w:p>
  <w:p w14:paraId="4B9B27D5" w14:textId="77777777" w:rsidR="00473545" w:rsidRDefault="00473545">
    <w:pPr>
      <w:pStyle w:val="Header"/>
    </w:pPr>
  </w:p>
  <w:p w14:paraId="1A5402CE" w14:textId="77777777" w:rsidR="00473545" w:rsidRPr="00473545" w:rsidRDefault="00473545" w:rsidP="00473545">
    <w:pPr>
      <w:pStyle w:val="Header"/>
      <w:tabs>
        <w:tab w:val="left" w:pos="7371"/>
      </w:tabs>
      <w:jc w:val="right"/>
      <w:rPr>
        <w:rFonts w:ascii="FS Me" w:hAnsi="FS Me"/>
        <w:sz w:val="22"/>
      </w:rPr>
    </w:pPr>
    <w:r w:rsidRPr="00473545">
      <w:rPr>
        <w:rFonts w:ascii="FS Me" w:hAnsi="FS Me"/>
        <w:sz w:val="22"/>
      </w:rPr>
      <w:t>A Munich Re company</w:t>
    </w:r>
  </w:p>
  <w:p w14:paraId="23FC45F2" w14:textId="77777777" w:rsidR="00473545" w:rsidRDefault="00473545">
    <w:pPr>
      <w:pStyle w:val="Header"/>
    </w:pPr>
  </w:p>
  <w:p w14:paraId="201415BB" w14:textId="77777777" w:rsidR="00473545" w:rsidRDefault="00473545">
    <w:pPr>
      <w:pStyle w:val="Header"/>
    </w:pPr>
    <w:r>
      <w:rPr>
        <w:noProof/>
        <w:lang w:val="de-DE" w:eastAsia="de-DE"/>
      </w:rPr>
      <w:drawing>
        <wp:anchor distT="0" distB="0" distL="114300" distR="114300" simplePos="0" relativeHeight="251659264" behindDoc="0" locked="1" layoutInCell="1" allowOverlap="1" wp14:anchorId="02DEFCD5" wp14:editId="25308C22">
          <wp:simplePos x="0" y="0"/>
          <wp:positionH relativeFrom="page">
            <wp:posOffset>5506720</wp:posOffset>
          </wp:positionH>
          <wp:positionV relativeFrom="paragraph">
            <wp:posOffset>-802005</wp:posOffset>
          </wp:positionV>
          <wp:extent cx="1202646" cy="54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go_Wortmarke_Rot_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202646"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F60" w14:textId="77777777" w:rsidR="008E540C" w:rsidRDefault="008E540C">
    <w:pPr>
      <w:pStyle w:val="Header"/>
    </w:pPr>
  </w:p>
  <w:p w14:paraId="747CD5E4" w14:textId="77777777" w:rsidR="008E540C" w:rsidRDefault="008E540C">
    <w:pPr>
      <w:pStyle w:val="Header"/>
    </w:pPr>
  </w:p>
  <w:p w14:paraId="74267ADE" w14:textId="77777777" w:rsidR="008E540C" w:rsidRDefault="008E540C">
    <w:pPr>
      <w:pStyle w:val="Header"/>
    </w:pPr>
  </w:p>
  <w:p w14:paraId="03449E59" w14:textId="77777777" w:rsidR="008E540C" w:rsidRDefault="008E540C">
    <w:pPr>
      <w:pStyle w:val="Header"/>
    </w:pPr>
  </w:p>
  <w:p w14:paraId="7A7B6E02" w14:textId="77777777" w:rsidR="008E540C" w:rsidRDefault="008E540C">
    <w:pPr>
      <w:pStyle w:val="Header"/>
    </w:pPr>
  </w:p>
  <w:p w14:paraId="6C382CFA" w14:textId="77777777" w:rsidR="008E540C" w:rsidRPr="00473545" w:rsidRDefault="008E540C" w:rsidP="00473545">
    <w:pPr>
      <w:pStyle w:val="Header"/>
      <w:tabs>
        <w:tab w:val="left" w:pos="7371"/>
      </w:tabs>
      <w:jc w:val="right"/>
      <w:rPr>
        <w:rFonts w:ascii="FS Me" w:hAnsi="FS Me"/>
        <w:sz w:val="22"/>
      </w:rPr>
    </w:pPr>
    <w:r w:rsidRPr="00473545">
      <w:rPr>
        <w:rFonts w:ascii="FS Me" w:hAnsi="FS Me"/>
        <w:sz w:val="22"/>
      </w:rPr>
      <w:t>A Munich Re company</w:t>
    </w:r>
  </w:p>
  <w:p w14:paraId="4222531A" w14:textId="77777777" w:rsidR="008E540C" w:rsidRDefault="008E540C">
    <w:pPr>
      <w:pStyle w:val="Header"/>
    </w:pPr>
  </w:p>
  <w:p w14:paraId="39DAF605" w14:textId="77777777" w:rsidR="008E540C" w:rsidRDefault="008E540C">
    <w:pPr>
      <w:pStyle w:val="Header"/>
    </w:pPr>
    <w:r>
      <w:rPr>
        <w:noProof/>
        <w:lang w:val="de-DE" w:eastAsia="de-DE"/>
      </w:rPr>
      <w:drawing>
        <wp:anchor distT="0" distB="0" distL="114300" distR="114300" simplePos="0" relativeHeight="251657216" behindDoc="0" locked="1" layoutInCell="1" allowOverlap="1" wp14:anchorId="201CF509" wp14:editId="70C65B2F">
          <wp:simplePos x="0" y="0"/>
          <wp:positionH relativeFrom="page">
            <wp:posOffset>8536305</wp:posOffset>
          </wp:positionH>
          <wp:positionV relativeFrom="paragraph">
            <wp:posOffset>-755650</wp:posOffset>
          </wp:positionV>
          <wp:extent cx="1202690" cy="53975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go_Wortmarke_Rot_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202690"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37F8" w14:textId="77777777" w:rsidR="008E540C" w:rsidRDefault="008E540C">
    <w:pPr>
      <w:pStyle w:val="Header"/>
    </w:pPr>
  </w:p>
  <w:p w14:paraId="37E4DA5E" w14:textId="77777777" w:rsidR="008E540C" w:rsidRDefault="008E540C">
    <w:pPr>
      <w:pStyle w:val="Header"/>
    </w:pPr>
  </w:p>
  <w:p w14:paraId="619A279B" w14:textId="77777777" w:rsidR="008E540C" w:rsidRDefault="008E540C">
    <w:pPr>
      <w:pStyle w:val="Header"/>
    </w:pPr>
  </w:p>
  <w:p w14:paraId="71EE4EE1" w14:textId="77777777" w:rsidR="008E540C" w:rsidRDefault="008E540C">
    <w:pPr>
      <w:pStyle w:val="Header"/>
    </w:pPr>
  </w:p>
  <w:p w14:paraId="5E550B51" w14:textId="77777777" w:rsidR="008E540C" w:rsidRDefault="008E540C">
    <w:pPr>
      <w:pStyle w:val="Header"/>
    </w:pPr>
  </w:p>
  <w:p w14:paraId="7FA00CBF" w14:textId="77777777" w:rsidR="008E540C" w:rsidRPr="00473545" w:rsidRDefault="008E540C" w:rsidP="00473545">
    <w:pPr>
      <w:pStyle w:val="Header"/>
      <w:tabs>
        <w:tab w:val="left" w:pos="7371"/>
      </w:tabs>
      <w:jc w:val="right"/>
      <w:rPr>
        <w:rFonts w:ascii="FS Me" w:hAnsi="FS Me"/>
        <w:sz w:val="22"/>
      </w:rPr>
    </w:pPr>
    <w:r w:rsidRPr="00473545">
      <w:rPr>
        <w:rFonts w:ascii="FS Me" w:hAnsi="FS Me"/>
        <w:sz w:val="22"/>
      </w:rPr>
      <w:t>A Munich Re company</w:t>
    </w:r>
  </w:p>
  <w:p w14:paraId="3A15F1ED" w14:textId="77777777" w:rsidR="008E540C" w:rsidRDefault="008E540C">
    <w:pPr>
      <w:pStyle w:val="Header"/>
    </w:pPr>
  </w:p>
  <w:p w14:paraId="76EED25B" w14:textId="77777777" w:rsidR="008E540C" w:rsidRDefault="008E540C">
    <w:pPr>
      <w:pStyle w:val="Header"/>
    </w:pPr>
    <w:r>
      <w:rPr>
        <w:noProof/>
        <w:lang w:val="de-DE" w:eastAsia="de-DE"/>
      </w:rPr>
      <w:drawing>
        <wp:anchor distT="0" distB="0" distL="114300" distR="114300" simplePos="0" relativeHeight="251663360" behindDoc="0" locked="1" layoutInCell="1" allowOverlap="1" wp14:anchorId="4308F547" wp14:editId="35810D0A">
          <wp:simplePos x="0" y="0"/>
          <wp:positionH relativeFrom="page">
            <wp:posOffset>5531485</wp:posOffset>
          </wp:positionH>
          <wp:positionV relativeFrom="paragraph">
            <wp:posOffset>-755650</wp:posOffset>
          </wp:positionV>
          <wp:extent cx="1202690" cy="5397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go_Wortmarke_Rot_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202690"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2D64"/>
    <w:multiLevelType w:val="hybridMultilevel"/>
    <w:tmpl w:val="30384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8645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C13B96"/>
    <w:multiLevelType w:val="hybridMultilevel"/>
    <w:tmpl w:val="3454F354"/>
    <w:lvl w:ilvl="0" w:tplc="629EA4D0">
      <w:numFmt w:val="bullet"/>
      <w:lvlText w:val="•"/>
      <w:lvlJc w:val="left"/>
      <w:pPr>
        <w:ind w:left="1080" w:hanging="720"/>
      </w:pPr>
      <w:rPr>
        <w:rFonts w:ascii="FS Me" w:eastAsiaTheme="minorHAnsi" w:hAnsi="FS M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A00F11"/>
    <w:multiLevelType w:val="hybridMultilevel"/>
    <w:tmpl w:val="5FEA1758"/>
    <w:lvl w:ilvl="0" w:tplc="415A6B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8001AC"/>
    <w:multiLevelType w:val="hybridMultilevel"/>
    <w:tmpl w:val="A5146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282A12"/>
    <w:multiLevelType w:val="hybridMultilevel"/>
    <w:tmpl w:val="83FA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E93A26"/>
    <w:multiLevelType w:val="hybridMultilevel"/>
    <w:tmpl w:val="FCC47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59135F"/>
    <w:multiLevelType w:val="hybridMultilevel"/>
    <w:tmpl w:val="FC2822F6"/>
    <w:lvl w:ilvl="0" w:tplc="EA16E72A">
      <w:start w:val="4"/>
      <w:numFmt w:val="bullet"/>
      <w:lvlText w:val=""/>
      <w:lvlJc w:val="left"/>
      <w:pPr>
        <w:ind w:left="720" w:hanging="360"/>
      </w:pPr>
      <w:rPr>
        <w:rFonts w:ascii="Wingdings" w:eastAsiaTheme="minorHAnsi" w:hAnsi="Wingdings" w:cstheme="minorBidi"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464A6C"/>
    <w:multiLevelType w:val="hybridMultilevel"/>
    <w:tmpl w:val="3DCE691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7E304F7"/>
    <w:multiLevelType w:val="hybridMultilevel"/>
    <w:tmpl w:val="59F6C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6761314">
    <w:abstractNumId w:val="1"/>
  </w:num>
  <w:num w:numId="2" w16cid:durableId="1313408452">
    <w:abstractNumId w:val="1"/>
  </w:num>
  <w:num w:numId="3" w16cid:durableId="726033510">
    <w:abstractNumId w:val="1"/>
  </w:num>
  <w:num w:numId="4" w16cid:durableId="731656413">
    <w:abstractNumId w:val="1"/>
  </w:num>
  <w:num w:numId="5" w16cid:durableId="547112375">
    <w:abstractNumId w:val="1"/>
  </w:num>
  <w:num w:numId="6" w16cid:durableId="1384330393">
    <w:abstractNumId w:val="1"/>
  </w:num>
  <w:num w:numId="7" w16cid:durableId="615718420">
    <w:abstractNumId w:val="1"/>
  </w:num>
  <w:num w:numId="8" w16cid:durableId="1699895011">
    <w:abstractNumId w:val="1"/>
  </w:num>
  <w:num w:numId="9" w16cid:durableId="320424756">
    <w:abstractNumId w:val="1"/>
  </w:num>
  <w:num w:numId="10" w16cid:durableId="232863001">
    <w:abstractNumId w:val="1"/>
  </w:num>
  <w:num w:numId="11" w16cid:durableId="1416324306">
    <w:abstractNumId w:val="9"/>
  </w:num>
  <w:num w:numId="12" w16cid:durableId="297417347">
    <w:abstractNumId w:val="2"/>
  </w:num>
  <w:num w:numId="13" w16cid:durableId="1716343307">
    <w:abstractNumId w:val="4"/>
  </w:num>
  <w:num w:numId="14" w16cid:durableId="199437858">
    <w:abstractNumId w:val="6"/>
  </w:num>
  <w:num w:numId="15" w16cid:durableId="625163732">
    <w:abstractNumId w:val="0"/>
  </w:num>
  <w:num w:numId="16" w16cid:durableId="69474884">
    <w:abstractNumId w:val="7"/>
  </w:num>
  <w:num w:numId="17" w16cid:durableId="1813015184">
    <w:abstractNumId w:val="5"/>
  </w:num>
  <w:num w:numId="18" w16cid:durableId="1836526277">
    <w:abstractNumId w:val="3"/>
  </w:num>
  <w:num w:numId="19" w16cid:durableId="1251423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45"/>
    <w:rsid w:val="00011C46"/>
    <w:rsid w:val="000200A0"/>
    <w:rsid w:val="00030CD9"/>
    <w:rsid w:val="00033F22"/>
    <w:rsid w:val="0003438B"/>
    <w:rsid w:val="000354A5"/>
    <w:rsid w:val="00040C23"/>
    <w:rsid w:val="000503DA"/>
    <w:rsid w:val="0005719B"/>
    <w:rsid w:val="000631F4"/>
    <w:rsid w:val="00063DC4"/>
    <w:rsid w:val="00091E1D"/>
    <w:rsid w:val="000977F0"/>
    <w:rsid w:val="000A1BEE"/>
    <w:rsid w:val="000A1E9F"/>
    <w:rsid w:val="000A562D"/>
    <w:rsid w:val="000A57EE"/>
    <w:rsid w:val="000C71AA"/>
    <w:rsid w:val="000E4969"/>
    <w:rsid w:val="000F714F"/>
    <w:rsid w:val="00105B4E"/>
    <w:rsid w:val="001164C0"/>
    <w:rsid w:val="001216F4"/>
    <w:rsid w:val="0013353A"/>
    <w:rsid w:val="00136C06"/>
    <w:rsid w:val="00144F39"/>
    <w:rsid w:val="00147241"/>
    <w:rsid w:val="00187579"/>
    <w:rsid w:val="00187DC7"/>
    <w:rsid w:val="00192124"/>
    <w:rsid w:val="00197169"/>
    <w:rsid w:val="001A290A"/>
    <w:rsid w:val="001D1E11"/>
    <w:rsid w:val="001E4A58"/>
    <w:rsid w:val="00212DC0"/>
    <w:rsid w:val="00252982"/>
    <w:rsid w:val="00261199"/>
    <w:rsid w:val="002635D0"/>
    <w:rsid w:val="00274F03"/>
    <w:rsid w:val="00275CDB"/>
    <w:rsid w:val="002768C8"/>
    <w:rsid w:val="00282394"/>
    <w:rsid w:val="002826FB"/>
    <w:rsid w:val="00293ABA"/>
    <w:rsid w:val="002946DB"/>
    <w:rsid w:val="0029661E"/>
    <w:rsid w:val="00297F38"/>
    <w:rsid w:val="002C5BD3"/>
    <w:rsid w:val="002D6352"/>
    <w:rsid w:val="00300368"/>
    <w:rsid w:val="003144ED"/>
    <w:rsid w:val="00343DED"/>
    <w:rsid w:val="0035238F"/>
    <w:rsid w:val="00354BEF"/>
    <w:rsid w:val="0039194A"/>
    <w:rsid w:val="00396403"/>
    <w:rsid w:val="003A0895"/>
    <w:rsid w:val="003C243D"/>
    <w:rsid w:val="003E3590"/>
    <w:rsid w:val="003E5FBE"/>
    <w:rsid w:val="003F1676"/>
    <w:rsid w:val="00403B63"/>
    <w:rsid w:val="00411C9B"/>
    <w:rsid w:val="004140B2"/>
    <w:rsid w:val="00424F95"/>
    <w:rsid w:val="004271D5"/>
    <w:rsid w:val="004302B5"/>
    <w:rsid w:val="00430B1B"/>
    <w:rsid w:val="004361A9"/>
    <w:rsid w:val="0044576C"/>
    <w:rsid w:val="00453C68"/>
    <w:rsid w:val="00461815"/>
    <w:rsid w:val="00464301"/>
    <w:rsid w:val="00470ACC"/>
    <w:rsid w:val="00473545"/>
    <w:rsid w:val="004903B0"/>
    <w:rsid w:val="004A1333"/>
    <w:rsid w:val="004B10EA"/>
    <w:rsid w:val="004B4270"/>
    <w:rsid w:val="004C3CFD"/>
    <w:rsid w:val="004E4E50"/>
    <w:rsid w:val="004F645A"/>
    <w:rsid w:val="00506F87"/>
    <w:rsid w:val="00507662"/>
    <w:rsid w:val="00516A19"/>
    <w:rsid w:val="00517A25"/>
    <w:rsid w:val="00545514"/>
    <w:rsid w:val="00560905"/>
    <w:rsid w:val="005712CA"/>
    <w:rsid w:val="0058316F"/>
    <w:rsid w:val="0058518F"/>
    <w:rsid w:val="0058526C"/>
    <w:rsid w:val="00586401"/>
    <w:rsid w:val="005A3E95"/>
    <w:rsid w:val="005C1843"/>
    <w:rsid w:val="005D50DE"/>
    <w:rsid w:val="005E2A88"/>
    <w:rsid w:val="005F04DD"/>
    <w:rsid w:val="00614961"/>
    <w:rsid w:val="00663171"/>
    <w:rsid w:val="0067209E"/>
    <w:rsid w:val="00685B2E"/>
    <w:rsid w:val="00694E9A"/>
    <w:rsid w:val="00695244"/>
    <w:rsid w:val="00695880"/>
    <w:rsid w:val="006E0663"/>
    <w:rsid w:val="006E3E4F"/>
    <w:rsid w:val="00701722"/>
    <w:rsid w:val="007137B3"/>
    <w:rsid w:val="00713A60"/>
    <w:rsid w:val="00715F5E"/>
    <w:rsid w:val="00717C1B"/>
    <w:rsid w:val="00717CB3"/>
    <w:rsid w:val="0072156D"/>
    <w:rsid w:val="007507C0"/>
    <w:rsid w:val="007525BD"/>
    <w:rsid w:val="00773CE1"/>
    <w:rsid w:val="00790332"/>
    <w:rsid w:val="007B2CEC"/>
    <w:rsid w:val="007B4A80"/>
    <w:rsid w:val="007B5581"/>
    <w:rsid w:val="007B565B"/>
    <w:rsid w:val="007B6090"/>
    <w:rsid w:val="007E0CBF"/>
    <w:rsid w:val="007E20F8"/>
    <w:rsid w:val="007E6A18"/>
    <w:rsid w:val="007F353D"/>
    <w:rsid w:val="007F5FE2"/>
    <w:rsid w:val="007F7693"/>
    <w:rsid w:val="008138C8"/>
    <w:rsid w:val="008166EE"/>
    <w:rsid w:val="0082769E"/>
    <w:rsid w:val="00841ADA"/>
    <w:rsid w:val="00842D8C"/>
    <w:rsid w:val="00843AAF"/>
    <w:rsid w:val="00855C14"/>
    <w:rsid w:val="0087143D"/>
    <w:rsid w:val="00881E9C"/>
    <w:rsid w:val="00886280"/>
    <w:rsid w:val="008877B2"/>
    <w:rsid w:val="00897646"/>
    <w:rsid w:val="008B0B1E"/>
    <w:rsid w:val="008B419B"/>
    <w:rsid w:val="008B7144"/>
    <w:rsid w:val="008B7631"/>
    <w:rsid w:val="008B7C56"/>
    <w:rsid w:val="008D28F9"/>
    <w:rsid w:val="008D2D68"/>
    <w:rsid w:val="008E4E0D"/>
    <w:rsid w:val="008E540C"/>
    <w:rsid w:val="00912CB2"/>
    <w:rsid w:val="00921C29"/>
    <w:rsid w:val="00932B6F"/>
    <w:rsid w:val="00944237"/>
    <w:rsid w:val="0094451F"/>
    <w:rsid w:val="00956184"/>
    <w:rsid w:val="00957664"/>
    <w:rsid w:val="00961950"/>
    <w:rsid w:val="00964D88"/>
    <w:rsid w:val="009660DC"/>
    <w:rsid w:val="00972A91"/>
    <w:rsid w:val="00993B71"/>
    <w:rsid w:val="00993DAC"/>
    <w:rsid w:val="009D094B"/>
    <w:rsid w:val="009D2184"/>
    <w:rsid w:val="009D3217"/>
    <w:rsid w:val="009D4096"/>
    <w:rsid w:val="009D7BFC"/>
    <w:rsid w:val="00A020B8"/>
    <w:rsid w:val="00A10A0D"/>
    <w:rsid w:val="00A23F82"/>
    <w:rsid w:val="00A35215"/>
    <w:rsid w:val="00A41141"/>
    <w:rsid w:val="00A56598"/>
    <w:rsid w:val="00A56DE9"/>
    <w:rsid w:val="00A6137F"/>
    <w:rsid w:val="00A7506B"/>
    <w:rsid w:val="00A93597"/>
    <w:rsid w:val="00A940C7"/>
    <w:rsid w:val="00AC3BAE"/>
    <w:rsid w:val="00AD5AEA"/>
    <w:rsid w:val="00AE4A1C"/>
    <w:rsid w:val="00AF094A"/>
    <w:rsid w:val="00AF5006"/>
    <w:rsid w:val="00B012A6"/>
    <w:rsid w:val="00B03E96"/>
    <w:rsid w:val="00B114F1"/>
    <w:rsid w:val="00B2739D"/>
    <w:rsid w:val="00B277C3"/>
    <w:rsid w:val="00B27C13"/>
    <w:rsid w:val="00B37045"/>
    <w:rsid w:val="00B463F0"/>
    <w:rsid w:val="00B66955"/>
    <w:rsid w:val="00B726B5"/>
    <w:rsid w:val="00B911BF"/>
    <w:rsid w:val="00BB25DA"/>
    <w:rsid w:val="00BC5C0D"/>
    <w:rsid w:val="00BD03C3"/>
    <w:rsid w:val="00BD318E"/>
    <w:rsid w:val="00BD696C"/>
    <w:rsid w:val="00BE072E"/>
    <w:rsid w:val="00BE3AAD"/>
    <w:rsid w:val="00BE5828"/>
    <w:rsid w:val="00BF2969"/>
    <w:rsid w:val="00BF7DDE"/>
    <w:rsid w:val="00C0297D"/>
    <w:rsid w:val="00C056ED"/>
    <w:rsid w:val="00C068EF"/>
    <w:rsid w:val="00C314BE"/>
    <w:rsid w:val="00C33A8A"/>
    <w:rsid w:val="00C344F1"/>
    <w:rsid w:val="00C40969"/>
    <w:rsid w:val="00C4571E"/>
    <w:rsid w:val="00C4703E"/>
    <w:rsid w:val="00C564E3"/>
    <w:rsid w:val="00C64186"/>
    <w:rsid w:val="00C65019"/>
    <w:rsid w:val="00C72365"/>
    <w:rsid w:val="00C725DE"/>
    <w:rsid w:val="00C929A8"/>
    <w:rsid w:val="00C979C5"/>
    <w:rsid w:val="00CA642D"/>
    <w:rsid w:val="00CB28C4"/>
    <w:rsid w:val="00CD7627"/>
    <w:rsid w:val="00CD7B30"/>
    <w:rsid w:val="00D14302"/>
    <w:rsid w:val="00D2169B"/>
    <w:rsid w:val="00D45EE8"/>
    <w:rsid w:val="00D4731D"/>
    <w:rsid w:val="00D552DA"/>
    <w:rsid w:val="00D55D6D"/>
    <w:rsid w:val="00D57CBD"/>
    <w:rsid w:val="00D63D96"/>
    <w:rsid w:val="00D64208"/>
    <w:rsid w:val="00D90723"/>
    <w:rsid w:val="00D97F45"/>
    <w:rsid w:val="00DB1A6E"/>
    <w:rsid w:val="00DB5DFE"/>
    <w:rsid w:val="00DC4872"/>
    <w:rsid w:val="00DF235F"/>
    <w:rsid w:val="00E02A29"/>
    <w:rsid w:val="00E15A5E"/>
    <w:rsid w:val="00E1747F"/>
    <w:rsid w:val="00E33531"/>
    <w:rsid w:val="00E47CC9"/>
    <w:rsid w:val="00E620C5"/>
    <w:rsid w:val="00E96E22"/>
    <w:rsid w:val="00ED120B"/>
    <w:rsid w:val="00ED12E5"/>
    <w:rsid w:val="00EE150C"/>
    <w:rsid w:val="00EE7EBB"/>
    <w:rsid w:val="00EF353A"/>
    <w:rsid w:val="00F02E0C"/>
    <w:rsid w:val="00F04482"/>
    <w:rsid w:val="00F0692C"/>
    <w:rsid w:val="00F10BC2"/>
    <w:rsid w:val="00F45195"/>
    <w:rsid w:val="00F4562B"/>
    <w:rsid w:val="00F503E9"/>
    <w:rsid w:val="00F938D7"/>
    <w:rsid w:val="00FD16E1"/>
    <w:rsid w:val="00FD7C0A"/>
    <w:rsid w:val="00FE06BC"/>
    <w:rsid w:val="00FF6B21"/>
    <w:rsid w:val="00FF74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61AD"/>
  <w15:docId w15:val="{FD763B73-111F-4F3B-A226-5E4670E6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24"/>
  </w:style>
  <w:style w:type="paragraph" w:styleId="Heading1">
    <w:name w:val="heading 1"/>
    <w:basedOn w:val="Normal"/>
    <w:next w:val="Normal"/>
    <w:link w:val="Heading1Char"/>
    <w:uiPriority w:val="9"/>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Heading2">
    <w:name w:val="heading 2"/>
    <w:basedOn w:val="Normal"/>
    <w:next w:val="Normal"/>
    <w:link w:val="Heading2Char"/>
    <w:uiPriority w:val="9"/>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Heading3">
    <w:name w:val="heading 3"/>
    <w:basedOn w:val="Normal"/>
    <w:next w:val="Normal"/>
    <w:link w:val="Heading3Char"/>
    <w:uiPriority w:val="9"/>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Heading4">
    <w:name w:val="heading 4"/>
    <w:basedOn w:val="Normal"/>
    <w:next w:val="Normal"/>
    <w:link w:val="Heading4Char"/>
    <w:uiPriority w:val="9"/>
    <w:unhideWhenUsed/>
    <w:qFormat/>
    <w:rsid w:val="00C314BE"/>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Heading7">
    <w:name w:val="heading 7"/>
    <w:basedOn w:val="Normal"/>
    <w:next w:val="Normal"/>
    <w:link w:val="Heading7Char"/>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Heading8">
    <w:name w:val="heading 8"/>
    <w:basedOn w:val="Normal"/>
    <w:next w:val="Normal"/>
    <w:link w:val="Heading8Char"/>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Heading9">
    <w:name w:val="heading 9"/>
    <w:basedOn w:val="Normal"/>
    <w:next w:val="Normal"/>
    <w:link w:val="Heading9Char"/>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4BE"/>
    <w:rPr>
      <w:rFonts w:asciiTheme="majorHAnsi" w:eastAsiaTheme="majorEastAsia" w:hAnsiTheme="majorHAnsi" w:cstheme="majorBidi"/>
      <w:color w:val="661D29" w:themeColor="accent1" w:themeShade="BF"/>
      <w:sz w:val="36"/>
      <w:szCs w:val="36"/>
    </w:rPr>
  </w:style>
  <w:style w:type="character" w:customStyle="1" w:styleId="Heading2Char">
    <w:name w:val="Heading 2 Char"/>
    <w:basedOn w:val="DefaultParagraphFont"/>
    <w:link w:val="Heading2"/>
    <w:uiPriority w:val="9"/>
    <w:rsid w:val="00C314BE"/>
    <w:rPr>
      <w:rFonts w:asciiTheme="majorHAnsi" w:eastAsiaTheme="majorEastAsia" w:hAnsiTheme="majorHAnsi" w:cstheme="majorBidi"/>
      <w:color w:val="661D29" w:themeColor="accent1" w:themeShade="BF"/>
      <w:sz w:val="28"/>
      <w:szCs w:val="28"/>
    </w:rPr>
  </w:style>
  <w:style w:type="character" w:customStyle="1" w:styleId="Heading3Char">
    <w:name w:val="Heading 3 Char"/>
    <w:basedOn w:val="DefaultParagraphFont"/>
    <w:link w:val="Heading3"/>
    <w:uiPriority w:val="9"/>
    <w:rsid w:val="00C314BE"/>
    <w:rPr>
      <w:rFonts w:asciiTheme="majorHAnsi" w:eastAsiaTheme="majorEastAsia" w:hAnsiTheme="majorHAnsi" w:cstheme="majorBidi"/>
      <w:color w:val="6F6F6F" w:themeColor="text1" w:themeTint="BF"/>
      <w:sz w:val="26"/>
      <w:szCs w:val="26"/>
    </w:rPr>
  </w:style>
  <w:style w:type="character" w:customStyle="1" w:styleId="Heading4Char">
    <w:name w:val="Heading 4 Char"/>
    <w:basedOn w:val="DefaultParagraphFont"/>
    <w:link w:val="Heading4"/>
    <w:uiPriority w:val="9"/>
    <w:rsid w:val="00C314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C314BE"/>
    <w:rPr>
      <w:rFonts w:asciiTheme="majorHAnsi" w:eastAsiaTheme="majorEastAsia" w:hAnsiTheme="majorHAnsi" w:cstheme="majorBidi"/>
      <w:i/>
      <w:iCs/>
      <w:sz w:val="22"/>
      <w:szCs w:val="22"/>
    </w:rPr>
  </w:style>
  <w:style w:type="paragraph" w:styleId="Title">
    <w:name w:val="Title"/>
    <w:basedOn w:val="Normal"/>
    <w:next w:val="Normal"/>
    <w:link w:val="TitleChar"/>
    <w:uiPriority w:val="10"/>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leChar">
    <w:name w:val="Title Char"/>
    <w:basedOn w:val="DefaultParagraphFont"/>
    <w:link w:val="Title"/>
    <w:uiPriority w:val="10"/>
    <w:rsid w:val="00C314BE"/>
    <w:rPr>
      <w:rFonts w:asciiTheme="majorHAnsi" w:eastAsiaTheme="majorEastAsia" w:hAnsiTheme="majorHAnsi" w:cstheme="majorBidi"/>
      <w:color w:val="661D29" w:themeColor="accent1" w:themeShade="BF"/>
      <w:spacing w:val="-7"/>
      <w:sz w:val="80"/>
      <w:szCs w:val="80"/>
    </w:rPr>
  </w:style>
  <w:style w:type="paragraph" w:styleId="Subtitle">
    <w:name w:val="Subtitle"/>
    <w:basedOn w:val="Normal"/>
    <w:next w:val="Normal"/>
    <w:link w:val="SubtitleChar"/>
    <w:uiPriority w:val="11"/>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SubtitleChar">
    <w:name w:val="Subtitle Char"/>
    <w:basedOn w:val="DefaultParagraphFont"/>
    <w:link w:val="Subtitle"/>
    <w:uiPriority w:val="11"/>
    <w:rsid w:val="00C314BE"/>
    <w:rPr>
      <w:rFonts w:asciiTheme="majorHAnsi" w:eastAsiaTheme="majorEastAsia" w:hAnsiTheme="majorHAnsi" w:cstheme="majorBidi"/>
      <w:color w:val="6F6F6F" w:themeColor="text1" w:themeTint="BF"/>
      <w:sz w:val="30"/>
      <w:szCs w:val="30"/>
    </w:rPr>
  </w:style>
  <w:style w:type="character" w:styleId="SubtleEmphasis">
    <w:name w:val="Subtle Emphasis"/>
    <w:basedOn w:val="DefaultParagraphFont"/>
    <w:uiPriority w:val="19"/>
    <w:qFormat/>
    <w:rsid w:val="00C314BE"/>
    <w:rPr>
      <w:i/>
      <w:iCs/>
      <w:color w:val="828282" w:themeColor="text1" w:themeTint="A6"/>
    </w:rPr>
  </w:style>
  <w:style w:type="character" w:styleId="IntenseEmphasis">
    <w:name w:val="Intense Emphasis"/>
    <w:basedOn w:val="DefaultParagraphFont"/>
    <w:uiPriority w:val="21"/>
    <w:qFormat/>
    <w:rsid w:val="00C314BE"/>
    <w:rPr>
      <w:b/>
      <w:bCs/>
      <w:i/>
      <w:iCs/>
    </w:rPr>
  </w:style>
  <w:style w:type="character" w:styleId="Strong">
    <w:name w:val="Strong"/>
    <w:basedOn w:val="DefaultParagraphFont"/>
    <w:uiPriority w:val="22"/>
    <w:qFormat/>
    <w:rsid w:val="00C314BE"/>
    <w:rPr>
      <w:b/>
      <w:bCs/>
    </w:rPr>
  </w:style>
  <w:style w:type="character" w:styleId="SubtleReference">
    <w:name w:val="Subtle Reference"/>
    <w:basedOn w:val="DefaultParagraphFont"/>
    <w:uiPriority w:val="31"/>
    <w:qFormat/>
    <w:rsid w:val="00C314BE"/>
    <w:rPr>
      <w:smallCaps/>
      <w:color w:val="6F6F6F" w:themeColor="text1" w:themeTint="BF"/>
    </w:rPr>
  </w:style>
  <w:style w:type="character" w:styleId="IntenseReference">
    <w:name w:val="Intense Reference"/>
    <w:basedOn w:val="DefaultParagraphFont"/>
    <w:uiPriority w:val="32"/>
    <w:qFormat/>
    <w:rsid w:val="00C314BE"/>
    <w:rPr>
      <w:b/>
      <w:bCs/>
      <w:smallCaps/>
      <w:u w:val="single"/>
    </w:rPr>
  </w:style>
  <w:style w:type="character" w:styleId="BookTitle">
    <w:name w:val="Book Title"/>
    <w:basedOn w:val="DefaultParagraphFont"/>
    <w:uiPriority w:val="33"/>
    <w:qFormat/>
    <w:rsid w:val="00C314BE"/>
    <w:rPr>
      <w:b/>
      <w:bCs/>
      <w:smallCaps/>
    </w:rPr>
  </w:style>
  <w:style w:type="table" w:styleId="TableGrid">
    <w:name w:val="Table Grid"/>
    <w:basedOn w:val="TableNormal"/>
    <w:uiPriority w:val="39"/>
    <w:rsid w:val="0081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8166EE"/>
    <w:tblPr>
      <w:tblStyleRowBandSize w:val="1"/>
      <w:tblStyleColBandSize w:val="1"/>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Emphasis">
    <w:name w:val="Emphasis"/>
    <w:basedOn w:val="DefaultParagraphFont"/>
    <w:uiPriority w:val="20"/>
    <w:qFormat/>
    <w:rsid w:val="00C314BE"/>
    <w:rPr>
      <w:i/>
      <w:iCs/>
    </w:rPr>
  </w:style>
  <w:style w:type="paragraph" w:styleId="Quote">
    <w:name w:val="Quote"/>
    <w:basedOn w:val="Normal"/>
    <w:next w:val="Normal"/>
    <w:link w:val="QuoteChar"/>
    <w:uiPriority w:val="29"/>
    <w:qFormat/>
    <w:rsid w:val="00C314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314BE"/>
    <w:rPr>
      <w:i/>
      <w:iCs/>
    </w:rPr>
  </w:style>
  <w:style w:type="paragraph" w:styleId="IntenseQuote">
    <w:name w:val="Intense Quote"/>
    <w:basedOn w:val="Normal"/>
    <w:next w:val="Normal"/>
    <w:link w:val="IntenseQuoteChar"/>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eQuoteChar">
    <w:name w:val="Intense Quote Char"/>
    <w:basedOn w:val="DefaultParagraphFont"/>
    <w:link w:val="IntenseQuote"/>
    <w:uiPriority w:val="30"/>
    <w:rsid w:val="00C314BE"/>
    <w:rPr>
      <w:rFonts w:asciiTheme="majorHAnsi" w:eastAsiaTheme="majorEastAsia" w:hAnsiTheme="majorHAnsi" w:cstheme="majorBidi"/>
      <w:color w:val="892737" w:themeColor="accent1"/>
      <w:sz w:val="28"/>
      <w:szCs w:val="28"/>
    </w:rPr>
  </w:style>
  <w:style w:type="character" w:customStyle="1" w:styleId="Heading6Char">
    <w:name w:val="Heading 6 Char"/>
    <w:basedOn w:val="DefaultParagraphFont"/>
    <w:link w:val="Heading6"/>
    <w:uiPriority w:val="9"/>
    <w:rsid w:val="00C314BE"/>
    <w:rPr>
      <w:rFonts w:asciiTheme="majorHAnsi" w:eastAsiaTheme="majorEastAsia" w:hAnsiTheme="majorHAnsi" w:cstheme="majorBidi"/>
      <w:color w:val="828282" w:themeColor="text1" w:themeTint="A6"/>
    </w:rPr>
  </w:style>
  <w:style w:type="character" w:customStyle="1" w:styleId="Heading7Char">
    <w:name w:val="Heading 7 Char"/>
    <w:basedOn w:val="DefaultParagraphFont"/>
    <w:link w:val="Heading7"/>
    <w:uiPriority w:val="9"/>
    <w:semiHidden/>
    <w:rsid w:val="00C314BE"/>
    <w:rPr>
      <w:rFonts w:asciiTheme="majorHAnsi" w:eastAsiaTheme="majorEastAsia" w:hAnsiTheme="majorHAnsi" w:cstheme="majorBidi"/>
      <w:i/>
      <w:iCs/>
      <w:color w:val="828282" w:themeColor="text1" w:themeTint="A6"/>
    </w:rPr>
  </w:style>
  <w:style w:type="character" w:customStyle="1" w:styleId="Heading8Char">
    <w:name w:val="Heading 8 Char"/>
    <w:basedOn w:val="DefaultParagraphFont"/>
    <w:link w:val="Heading8"/>
    <w:uiPriority w:val="9"/>
    <w:semiHidden/>
    <w:rsid w:val="00C314BE"/>
    <w:rPr>
      <w:rFonts w:asciiTheme="majorHAnsi" w:eastAsiaTheme="majorEastAsia" w:hAnsiTheme="majorHAnsi" w:cstheme="majorBidi"/>
      <w:smallCaps/>
      <w:color w:val="828282" w:themeColor="text1" w:themeTint="A6"/>
    </w:rPr>
  </w:style>
  <w:style w:type="character" w:customStyle="1" w:styleId="Heading9Char">
    <w:name w:val="Heading 9 Char"/>
    <w:basedOn w:val="DefaultParagraphFont"/>
    <w:link w:val="Heading9"/>
    <w:uiPriority w:val="9"/>
    <w:semiHidden/>
    <w:rsid w:val="00C314BE"/>
    <w:rPr>
      <w:rFonts w:asciiTheme="majorHAnsi" w:eastAsiaTheme="majorEastAsia" w:hAnsiTheme="majorHAnsi" w:cstheme="majorBidi"/>
      <w:i/>
      <w:iCs/>
      <w:smallCaps/>
      <w:color w:val="828282" w:themeColor="text1" w:themeTint="A6"/>
    </w:rPr>
  </w:style>
  <w:style w:type="paragraph" w:styleId="Caption">
    <w:name w:val="caption"/>
    <w:basedOn w:val="Normal"/>
    <w:next w:val="Normal"/>
    <w:uiPriority w:val="35"/>
    <w:semiHidden/>
    <w:unhideWhenUsed/>
    <w:qFormat/>
    <w:rsid w:val="00C314BE"/>
    <w:rPr>
      <w:b/>
      <w:bCs/>
      <w:color w:val="6F6F6F" w:themeColor="text1" w:themeTint="BF"/>
      <w:sz w:val="20"/>
      <w:szCs w:val="20"/>
    </w:rPr>
  </w:style>
  <w:style w:type="paragraph" w:styleId="NoSpacing">
    <w:name w:val="No Spacing"/>
    <w:uiPriority w:val="1"/>
    <w:qFormat/>
    <w:rsid w:val="00C314BE"/>
  </w:style>
  <w:style w:type="paragraph" w:styleId="TOCHeading">
    <w:name w:val="TOC Heading"/>
    <w:basedOn w:val="Heading1"/>
    <w:next w:val="Normal"/>
    <w:uiPriority w:val="39"/>
    <w:semiHidden/>
    <w:unhideWhenUsed/>
    <w:qFormat/>
    <w:rsid w:val="00C314BE"/>
    <w:pPr>
      <w:outlineLvl w:val="9"/>
    </w:pPr>
  </w:style>
  <w:style w:type="paragraph" w:styleId="Header">
    <w:name w:val="header"/>
    <w:basedOn w:val="Normal"/>
    <w:link w:val="HeaderChar"/>
    <w:uiPriority w:val="99"/>
    <w:unhideWhenUsed/>
    <w:rsid w:val="00473545"/>
    <w:pPr>
      <w:tabs>
        <w:tab w:val="center" w:pos="4536"/>
        <w:tab w:val="right" w:pos="9072"/>
      </w:tabs>
    </w:pPr>
  </w:style>
  <w:style w:type="character" w:customStyle="1" w:styleId="HeaderChar">
    <w:name w:val="Header Char"/>
    <w:basedOn w:val="DefaultParagraphFont"/>
    <w:link w:val="Header"/>
    <w:uiPriority w:val="99"/>
    <w:rsid w:val="00473545"/>
  </w:style>
  <w:style w:type="paragraph" w:styleId="Footer">
    <w:name w:val="footer"/>
    <w:basedOn w:val="Normal"/>
    <w:link w:val="FooterChar"/>
    <w:uiPriority w:val="99"/>
    <w:unhideWhenUsed/>
    <w:rsid w:val="00473545"/>
    <w:pPr>
      <w:tabs>
        <w:tab w:val="center" w:pos="4536"/>
        <w:tab w:val="right" w:pos="9072"/>
      </w:tabs>
    </w:pPr>
  </w:style>
  <w:style w:type="character" w:customStyle="1" w:styleId="FooterChar">
    <w:name w:val="Footer Char"/>
    <w:basedOn w:val="DefaultParagraphFont"/>
    <w:link w:val="Footer"/>
    <w:uiPriority w:val="99"/>
    <w:rsid w:val="00473545"/>
  </w:style>
  <w:style w:type="paragraph" w:styleId="BalloonText">
    <w:name w:val="Balloon Text"/>
    <w:basedOn w:val="Normal"/>
    <w:link w:val="BalloonTextChar"/>
    <w:uiPriority w:val="99"/>
    <w:semiHidden/>
    <w:unhideWhenUsed/>
    <w:rsid w:val="00473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45"/>
    <w:rPr>
      <w:rFonts w:ascii="Segoe UI" w:hAnsi="Segoe UI" w:cs="Segoe UI"/>
      <w:sz w:val="18"/>
      <w:szCs w:val="18"/>
    </w:rPr>
  </w:style>
  <w:style w:type="paragraph" w:customStyle="1" w:styleId="Default">
    <w:name w:val="Default"/>
    <w:rsid w:val="001164C0"/>
    <w:pPr>
      <w:autoSpaceDE w:val="0"/>
      <w:autoSpaceDN w:val="0"/>
      <w:adjustRightInd w:val="0"/>
    </w:pPr>
    <w:rPr>
      <w:rFonts w:ascii="Calibri" w:hAnsi="Calibri" w:cs="Calibri"/>
      <w:color w:val="000000"/>
      <w:sz w:val="24"/>
      <w:szCs w:val="24"/>
      <w:lang w:val="de-DE"/>
    </w:rPr>
  </w:style>
  <w:style w:type="paragraph" w:styleId="ListParagraph">
    <w:name w:val="List Paragraph"/>
    <w:basedOn w:val="Normal"/>
    <w:uiPriority w:val="34"/>
    <w:qFormat/>
    <w:rsid w:val="001164C0"/>
    <w:pPr>
      <w:ind w:left="720"/>
      <w:contextualSpacing/>
    </w:pPr>
  </w:style>
  <w:style w:type="character" w:styleId="Hyperlink">
    <w:name w:val="Hyperlink"/>
    <w:basedOn w:val="DefaultParagraphFont"/>
    <w:uiPriority w:val="82"/>
    <w:unhideWhenUsed/>
    <w:rsid w:val="001164C0"/>
    <w:rPr>
      <w:color w:val="892737" w:themeColor="hyperlink"/>
      <w:u w:val="single"/>
    </w:rPr>
  </w:style>
  <w:style w:type="paragraph" w:styleId="NormalWeb">
    <w:name w:val="Normal (Web)"/>
    <w:basedOn w:val="Normal"/>
    <w:uiPriority w:val="99"/>
    <w:unhideWhenUsed/>
    <w:rsid w:val="00192124"/>
    <w:pPr>
      <w:spacing w:before="100" w:beforeAutospacing="1" w:after="100" w:afterAutospacing="1"/>
    </w:pPr>
    <w:rPr>
      <w:rFonts w:ascii="Times New Roman" w:eastAsia="Times New Roman" w:hAnsi="Times New Roman" w:cs="Times New Roman"/>
      <w:sz w:val="24"/>
      <w:szCs w:val="24"/>
      <w:lang w:val="de-DE" w:eastAsia="de-DE"/>
    </w:rPr>
  </w:style>
  <w:style w:type="character" w:styleId="FollowedHyperlink">
    <w:name w:val="FollowedHyperlink"/>
    <w:basedOn w:val="DefaultParagraphFont"/>
    <w:uiPriority w:val="99"/>
    <w:semiHidden/>
    <w:unhideWhenUsed/>
    <w:rsid w:val="00CD7B30"/>
    <w:rPr>
      <w:color w:val="892737" w:themeColor="followedHyperlink"/>
      <w:u w:val="single"/>
    </w:rPr>
  </w:style>
  <w:style w:type="paragraph" w:styleId="FootnoteText">
    <w:name w:val="footnote text"/>
    <w:basedOn w:val="Normal"/>
    <w:link w:val="FootnoteTextChar"/>
    <w:uiPriority w:val="99"/>
    <w:semiHidden/>
    <w:unhideWhenUsed/>
    <w:rsid w:val="00BD318E"/>
    <w:rPr>
      <w:sz w:val="20"/>
      <w:szCs w:val="20"/>
    </w:rPr>
  </w:style>
  <w:style w:type="character" w:customStyle="1" w:styleId="FootnoteTextChar">
    <w:name w:val="Footnote Text Char"/>
    <w:basedOn w:val="DefaultParagraphFont"/>
    <w:link w:val="FootnoteText"/>
    <w:uiPriority w:val="99"/>
    <w:semiHidden/>
    <w:rsid w:val="00BD318E"/>
    <w:rPr>
      <w:sz w:val="20"/>
      <w:szCs w:val="20"/>
    </w:rPr>
  </w:style>
  <w:style w:type="character" w:styleId="FootnoteReference">
    <w:name w:val="footnote reference"/>
    <w:basedOn w:val="DefaultParagraphFont"/>
    <w:uiPriority w:val="99"/>
    <w:semiHidden/>
    <w:unhideWhenUsed/>
    <w:rsid w:val="00BD318E"/>
    <w:rPr>
      <w:vertAlign w:val="superscript"/>
    </w:rPr>
  </w:style>
  <w:style w:type="character" w:styleId="CommentReference">
    <w:name w:val="annotation reference"/>
    <w:basedOn w:val="DefaultParagraphFont"/>
    <w:uiPriority w:val="99"/>
    <w:semiHidden/>
    <w:unhideWhenUsed/>
    <w:rsid w:val="00717CB3"/>
    <w:rPr>
      <w:sz w:val="16"/>
      <w:szCs w:val="16"/>
    </w:rPr>
  </w:style>
  <w:style w:type="paragraph" w:styleId="CommentText">
    <w:name w:val="annotation text"/>
    <w:basedOn w:val="Normal"/>
    <w:link w:val="CommentTextChar"/>
    <w:uiPriority w:val="99"/>
    <w:unhideWhenUsed/>
    <w:rsid w:val="00717CB3"/>
    <w:rPr>
      <w:sz w:val="20"/>
      <w:szCs w:val="20"/>
    </w:rPr>
  </w:style>
  <w:style w:type="character" w:customStyle="1" w:styleId="CommentTextChar">
    <w:name w:val="Comment Text Char"/>
    <w:basedOn w:val="DefaultParagraphFont"/>
    <w:link w:val="CommentText"/>
    <w:uiPriority w:val="99"/>
    <w:rsid w:val="00717CB3"/>
    <w:rPr>
      <w:sz w:val="20"/>
      <w:szCs w:val="20"/>
    </w:rPr>
  </w:style>
  <w:style w:type="paragraph" w:styleId="CommentSubject">
    <w:name w:val="annotation subject"/>
    <w:basedOn w:val="CommentText"/>
    <w:next w:val="CommentText"/>
    <w:link w:val="CommentSubjectChar"/>
    <w:uiPriority w:val="99"/>
    <w:semiHidden/>
    <w:unhideWhenUsed/>
    <w:rsid w:val="00717CB3"/>
    <w:rPr>
      <w:b/>
      <w:bCs/>
    </w:rPr>
  </w:style>
  <w:style w:type="character" w:customStyle="1" w:styleId="CommentSubjectChar">
    <w:name w:val="Comment Subject Char"/>
    <w:basedOn w:val="CommentTextChar"/>
    <w:link w:val="CommentSubject"/>
    <w:uiPriority w:val="99"/>
    <w:semiHidden/>
    <w:rsid w:val="00717CB3"/>
    <w:rPr>
      <w:b/>
      <w:bCs/>
      <w:sz w:val="20"/>
      <w:szCs w:val="20"/>
    </w:rPr>
  </w:style>
  <w:style w:type="table" w:customStyle="1" w:styleId="Tabellenraster1">
    <w:name w:val="Tabellenraster1"/>
    <w:basedOn w:val="TableNormal"/>
    <w:next w:val="TableGrid"/>
    <w:uiPriority w:val="39"/>
    <w:rsid w:val="00842D8C"/>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5C1843"/>
    <w:rPr>
      <w:color w:val="605E5C"/>
      <w:shd w:val="clear" w:color="auto" w:fill="E1DFDD"/>
    </w:rPr>
  </w:style>
  <w:style w:type="paragraph" w:styleId="Revision">
    <w:name w:val="Revision"/>
    <w:hidden/>
    <w:uiPriority w:val="99"/>
    <w:semiHidden/>
    <w:rsid w:val="000977F0"/>
  </w:style>
  <w:style w:type="table" w:customStyle="1" w:styleId="TableGrid2">
    <w:name w:val="Table Grid2"/>
    <w:basedOn w:val="TableNormal"/>
    <w:uiPriority w:val="39"/>
    <w:rsid w:val="0058640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6303">
      <w:bodyDiv w:val="1"/>
      <w:marLeft w:val="0"/>
      <w:marRight w:val="0"/>
      <w:marTop w:val="0"/>
      <w:marBottom w:val="0"/>
      <w:divBdr>
        <w:top w:val="none" w:sz="0" w:space="0" w:color="auto"/>
        <w:left w:val="none" w:sz="0" w:space="0" w:color="auto"/>
        <w:bottom w:val="none" w:sz="0" w:space="0" w:color="auto"/>
        <w:right w:val="none" w:sz="0" w:space="0" w:color="auto"/>
      </w:divBdr>
    </w:div>
    <w:div w:id="259262597">
      <w:bodyDiv w:val="1"/>
      <w:marLeft w:val="0"/>
      <w:marRight w:val="0"/>
      <w:marTop w:val="0"/>
      <w:marBottom w:val="0"/>
      <w:divBdr>
        <w:top w:val="none" w:sz="0" w:space="0" w:color="auto"/>
        <w:left w:val="none" w:sz="0" w:space="0" w:color="auto"/>
        <w:bottom w:val="none" w:sz="0" w:space="0" w:color="auto"/>
        <w:right w:val="none" w:sz="0" w:space="0" w:color="auto"/>
      </w:divBdr>
    </w:div>
    <w:div w:id="376393572">
      <w:bodyDiv w:val="1"/>
      <w:marLeft w:val="0"/>
      <w:marRight w:val="0"/>
      <w:marTop w:val="0"/>
      <w:marBottom w:val="0"/>
      <w:divBdr>
        <w:top w:val="none" w:sz="0" w:space="0" w:color="auto"/>
        <w:left w:val="none" w:sz="0" w:space="0" w:color="auto"/>
        <w:bottom w:val="none" w:sz="0" w:space="0" w:color="auto"/>
        <w:right w:val="none" w:sz="0" w:space="0" w:color="auto"/>
      </w:divBdr>
    </w:div>
    <w:div w:id="988368587">
      <w:bodyDiv w:val="1"/>
      <w:marLeft w:val="0"/>
      <w:marRight w:val="0"/>
      <w:marTop w:val="0"/>
      <w:marBottom w:val="0"/>
      <w:divBdr>
        <w:top w:val="none" w:sz="0" w:space="0" w:color="auto"/>
        <w:left w:val="none" w:sz="0" w:space="0" w:color="auto"/>
        <w:bottom w:val="none" w:sz="0" w:space="0" w:color="auto"/>
        <w:right w:val="none" w:sz="0" w:space="0" w:color="auto"/>
      </w:divBdr>
    </w:div>
    <w:div w:id="1325352569">
      <w:bodyDiv w:val="1"/>
      <w:marLeft w:val="0"/>
      <w:marRight w:val="0"/>
      <w:marTop w:val="0"/>
      <w:marBottom w:val="0"/>
      <w:divBdr>
        <w:top w:val="none" w:sz="0" w:space="0" w:color="auto"/>
        <w:left w:val="none" w:sz="0" w:space="0" w:color="auto"/>
        <w:bottom w:val="none" w:sz="0" w:space="0" w:color="auto"/>
        <w:right w:val="none" w:sz="0" w:space="0" w:color="auto"/>
      </w:divBdr>
    </w:div>
    <w:div w:id="1350448073">
      <w:bodyDiv w:val="1"/>
      <w:marLeft w:val="0"/>
      <w:marRight w:val="0"/>
      <w:marTop w:val="0"/>
      <w:marBottom w:val="0"/>
      <w:divBdr>
        <w:top w:val="none" w:sz="0" w:space="0" w:color="auto"/>
        <w:left w:val="none" w:sz="0" w:space="0" w:color="auto"/>
        <w:bottom w:val="none" w:sz="0" w:space="0" w:color="auto"/>
        <w:right w:val="none" w:sz="0" w:space="0" w:color="auto"/>
      </w:divBdr>
    </w:div>
    <w:div w:id="1428959922">
      <w:bodyDiv w:val="1"/>
      <w:marLeft w:val="0"/>
      <w:marRight w:val="0"/>
      <w:marTop w:val="0"/>
      <w:marBottom w:val="0"/>
      <w:divBdr>
        <w:top w:val="none" w:sz="0" w:space="0" w:color="auto"/>
        <w:left w:val="none" w:sz="0" w:space="0" w:color="auto"/>
        <w:bottom w:val="none" w:sz="0" w:space="0" w:color="auto"/>
        <w:right w:val="none" w:sz="0" w:space="0" w:color="auto"/>
      </w:divBdr>
    </w:div>
    <w:div w:id="1429810435">
      <w:bodyDiv w:val="1"/>
      <w:marLeft w:val="0"/>
      <w:marRight w:val="0"/>
      <w:marTop w:val="0"/>
      <w:marBottom w:val="0"/>
      <w:divBdr>
        <w:top w:val="none" w:sz="0" w:space="0" w:color="auto"/>
        <w:left w:val="none" w:sz="0" w:space="0" w:color="auto"/>
        <w:bottom w:val="none" w:sz="0" w:space="0" w:color="auto"/>
        <w:right w:val="none" w:sz="0" w:space="0" w:color="auto"/>
      </w:divBdr>
    </w:div>
    <w:div w:id="1451246543">
      <w:bodyDiv w:val="1"/>
      <w:marLeft w:val="0"/>
      <w:marRight w:val="0"/>
      <w:marTop w:val="0"/>
      <w:marBottom w:val="0"/>
      <w:divBdr>
        <w:top w:val="none" w:sz="0" w:space="0" w:color="auto"/>
        <w:left w:val="none" w:sz="0" w:space="0" w:color="auto"/>
        <w:bottom w:val="none" w:sz="0" w:space="0" w:color="auto"/>
        <w:right w:val="none" w:sz="0" w:space="0" w:color="auto"/>
      </w:divBdr>
      <w:divsChild>
        <w:div w:id="531267149">
          <w:marLeft w:val="446"/>
          <w:marRight w:val="0"/>
          <w:marTop w:val="240"/>
          <w:marBottom w:val="0"/>
          <w:divBdr>
            <w:top w:val="none" w:sz="0" w:space="0" w:color="auto"/>
            <w:left w:val="none" w:sz="0" w:space="0" w:color="auto"/>
            <w:bottom w:val="none" w:sz="0" w:space="0" w:color="auto"/>
            <w:right w:val="none" w:sz="0" w:space="0" w:color="auto"/>
          </w:divBdr>
        </w:div>
        <w:div w:id="919757856">
          <w:marLeft w:val="446"/>
          <w:marRight w:val="0"/>
          <w:marTop w:val="240"/>
          <w:marBottom w:val="0"/>
          <w:divBdr>
            <w:top w:val="none" w:sz="0" w:space="0" w:color="auto"/>
            <w:left w:val="none" w:sz="0" w:space="0" w:color="auto"/>
            <w:bottom w:val="none" w:sz="0" w:space="0" w:color="auto"/>
            <w:right w:val="none" w:sz="0" w:space="0" w:color="auto"/>
          </w:divBdr>
        </w:div>
        <w:div w:id="1095441436">
          <w:marLeft w:val="446"/>
          <w:marRight w:val="0"/>
          <w:marTop w:val="240"/>
          <w:marBottom w:val="0"/>
          <w:divBdr>
            <w:top w:val="none" w:sz="0" w:space="0" w:color="auto"/>
            <w:left w:val="none" w:sz="0" w:space="0" w:color="auto"/>
            <w:bottom w:val="none" w:sz="0" w:space="0" w:color="auto"/>
            <w:right w:val="none" w:sz="0" w:space="0" w:color="auto"/>
          </w:divBdr>
        </w:div>
        <w:div w:id="1890415561">
          <w:marLeft w:val="446"/>
          <w:marRight w:val="0"/>
          <w:marTop w:val="240"/>
          <w:marBottom w:val="0"/>
          <w:divBdr>
            <w:top w:val="none" w:sz="0" w:space="0" w:color="auto"/>
            <w:left w:val="none" w:sz="0" w:space="0" w:color="auto"/>
            <w:bottom w:val="none" w:sz="0" w:space="0" w:color="auto"/>
            <w:right w:val="none" w:sz="0" w:space="0" w:color="auto"/>
          </w:divBdr>
        </w:div>
        <w:div w:id="1920485050">
          <w:marLeft w:val="446"/>
          <w:marRight w:val="0"/>
          <w:marTop w:val="240"/>
          <w:marBottom w:val="0"/>
          <w:divBdr>
            <w:top w:val="none" w:sz="0" w:space="0" w:color="auto"/>
            <w:left w:val="none" w:sz="0" w:space="0" w:color="auto"/>
            <w:bottom w:val="none" w:sz="0" w:space="0" w:color="auto"/>
            <w:right w:val="none" w:sz="0" w:space="0" w:color="auto"/>
          </w:divBdr>
        </w:div>
        <w:div w:id="2134521965">
          <w:marLeft w:val="446"/>
          <w:marRight w:val="0"/>
          <w:marTop w:val="240"/>
          <w:marBottom w:val="0"/>
          <w:divBdr>
            <w:top w:val="none" w:sz="0" w:space="0" w:color="auto"/>
            <w:left w:val="none" w:sz="0" w:space="0" w:color="auto"/>
            <w:bottom w:val="none" w:sz="0" w:space="0" w:color="auto"/>
            <w:right w:val="none" w:sz="0" w:space="0" w:color="auto"/>
          </w:divBdr>
        </w:div>
      </w:divsChild>
    </w:div>
    <w:div w:id="1638681831">
      <w:bodyDiv w:val="1"/>
      <w:marLeft w:val="0"/>
      <w:marRight w:val="0"/>
      <w:marTop w:val="0"/>
      <w:marBottom w:val="0"/>
      <w:divBdr>
        <w:top w:val="none" w:sz="0" w:space="0" w:color="auto"/>
        <w:left w:val="none" w:sz="0" w:space="0" w:color="auto"/>
        <w:bottom w:val="none" w:sz="0" w:space="0" w:color="auto"/>
        <w:right w:val="none" w:sz="0" w:space="0" w:color="auto"/>
      </w:divBdr>
    </w:div>
    <w:div w:id="189415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ERGO Design Sekundärfarben">
  <a:themeElements>
    <a:clrScheme name="ERGO Sekundärfarben">
      <a:dk1>
        <a:srgbClr val="404040"/>
      </a:dk1>
      <a:lt1>
        <a:srgbClr val="FFFFFF"/>
      </a:lt1>
      <a:dk2>
        <a:srgbClr val="404040"/>
      </a:dk2>
      <a:lt2>
        <a:srgbClr val="FFFFFF"/>
      </a:lt2>
      <a:accent1>
        <a:srgbClr val="892737"/>
      </a:accent1>
      <a:accent2>
        <a:srgbClr val="8F8983"/>
      </a:accent2>
      <a:accent3>
        <a:srgbClr val="8F8983"/>
      </a:accent3>
      <a:accent4>
        <a:srgbClr val="8F8983"/>
      </a:accent4>
      <a:accent5>
        <a:srgbClr val="8F8983"/>
      </a:accent5>
      <a:accent6>
        <a:srgbClr val="8F8983"/>
      </a:accent6>
      <a:hlink>
        <a:srgbClr val="892737"/>
      </a:hlink>
      <a:folHlink>
        <a:srgbClr val="892737"/>
      </a:folHlink>
    </a:clrScheme>
    <a:fontScheme name="ERGO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GO Design Sekundärfarben" id="{1DA32219-19E8-4974-9571-80229DDB67C4}" vid="{03AA1B2B-D86B-4F37-8C61-B27395D16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3c6f0c0-389c-4324-ac00-59fc67b57ed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02FB147464C654DA52D28234157E078" ma:contentTypeVersion="14" ma:contentTypeDescription="Create a new document." ma:contentTypeScope="" ma:versionID="1a8e09a04d0a24176eefbd785c3654af">
  <xsd:schema xmlns:xsd="http://www.w3.org/2001/XMLSchema" xmlns:xs="http://www.w3.org/2001/XMLSchema" xmlns:p="http://schemas.microsoft.com/office/2006/metadata/properties" xmlns:ns3="ca729617-940b-463d-a580-46cc6a3ad9da" xmlns:ns4="def3a87b-6b62-403d-9a41-c1b0476c5a43" xmlns:ns5="8c3cb744-7aeb-4f41-aa1a-475906b218bf" targetNamespace="http://schemas.microsoft.com/office/2006/metadata/properties" ma:root="true" ma:fieldsID="01e5e0cd92704881e2f7f1932358ff85" ns3:_="" ns4:_="" ns5:_="">
    <xsd:import namespace="ca729617-940b-463d-a580-46cc6a3ad9da"/>
    <xsd:import namespace="def3a87b-6b62-403d-9a41-c1b0476c5a43"/>
    <xsd:import namespace="8c3cb744-7aeb-4f41-aa1a-475906b218bf"/>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29617-940b-463d-a580-46cc6a3ad9d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92c0d03-d018-4159-8aad-f5acd5f82d1d}" ma:internalName="TaxCatchAll" ma:showField="CatchAllData" ma:web="8c3cb744-7aeb-4f41-aa1a-475906b218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92c0d03-d018-4159-8aad-f5acd5f82d1d}" ma:internalName="TaxCatchAllLabel" ma:readOnly="true" ma:showField="CatchAllDataLabel" ma:web="8c3cb744-7aeb-4f41-aa1a-475906b218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f3a87b-6b62-403d-9a41-c1b0476c5a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cb744-7aeb-4f41-aa1a-475906b21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a729617-940b-463d-a580-46cc6a3ad9d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707AF-AC9D-43A6-AF54-8EED518631BF}">
  <ds:schemaRefs>
    <ds:schemaRef ds:uri="Microsoft.SharePoint.Taxonomy.ContentTypeSync"/>
  </ds:schemaRefs>
</ds:datastoreItem>
</file>

<file path=customXml/itemProps2.xml><?xml version="1.0" encoding="utf-8"?>
<ds:datastoreItem xmlns:ds="http://schemas.openxmlformats.org/officeDocument/2006/customXml" ds:itemID="{67942F2F-5517-473C-89FD-A95D4F727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29617-940b-463d-a580-46cc6a3ad9da"/>
    <ds:schemaRef ds:uri="def3a87b-6b62-403d-9a41-c1b0476c5a43"/>
    <ds:schemaRef ds:uri="8c3cb744-7aeb-4f41-aa1a-475906b21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EEF53-71F0-4DB5-A342-B7ADCF8BA702}">
  <ds:schemaRefs>
    <ds:schemaRef ds:uri="http://schemas.openxmlformats.org/officeDocument/2006/bibliography"/>
  </ds:schemaRefs>
</ds:datastoreItem>
</file>

<file path=customXml/itemProps4.xml><?xml version="1.0" encoding="utf-8"?>
<ds:datastoreItem xmlns:ds="http://schemas.openxmlformats.org/officeDocument/2006/customXml" ds:itemID="{DD26D01A-FD05-42FE-8A54-173C707AE0F8}">
  <ds:schemaRefs>
    <ds:schemaRef ds:uri="http://purl.org/dc/terms/"/>
    <ds:schemaRef ds:uri="http://schemas.openxmlformats.org/package/2006/metadata/core-properties"/>
    <ds:schemaRef ds:uri="http://schemas.microsoft.com/office/2006/documentManagement/types"/>
    <ds:schemaRef ds:uri="def3a87b-6b62-403d-9a41-c1b0476c5a43"/>
    <ds:schemaRef ds:uri="8c3cb744-7aeb-4f41-aa1a-475906b218bf"/>
    <ds:schemaRef ds:uri="http://purl.org/dc/elements/1.1/"/>
    <ds:schemaRef ds:uri="http://schemas.microsoft.com/office/2006/metadata/properties"/>
    <ds:schemaRef ds:uri="ca729617-940b-463d-a580-46cc6a3ad9da"/>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CB5FD0B-F20F-4C93-8A41-D93DC0831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3158</Words>
  <Characters>18005</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ITERGO GmbH</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Schluensen, Hendrik (EOCAD)</dc:creator>
  <cp:keywords/>
  <dc:description/>
  <cp:lastModifiedBy>Alo Alunurm</cp:lastModifiedBy>
  <cp:revision>2</cp:revision>
  <cp:lastPrinted>2023-05-02T12:58:00Z</cp:lastPrinted>
  <dcterms:created xsi:type="dcterms:W3CDTF">2023-06-19T07:11:00Z</dcterms:created>
  <dcterms:modified xsi:type="dcterms:W3CDTF">2023-06-19T07:11:00Z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0x010100102FB147464C654DA52D28234157E078</vt:lpwstr>
  </property>
  <property fmtid="{D5CDD505-2E9C-101B-9397-08002B2CF9AE}" pid="3" name="_dlc_DocIdItemGuid">
    <vt:lpwstr>6388d45c-a08c-43d2-ae0c-9436da07fbed</vt:lpwstr>
  </property>
  <property fmtid="{D5CDD505-2E9C-101B-9397-08002B2CF9AE}" pid="4" name="TaxKeyword">
    <vt:lpwstr/>
  </property>
  <property fmtid="{D5CDD505-2E9C-101B-9397-08002B2CF9AE}" pid="5" name="EW_TaxDocumentType">
    <vt:lpwstr/>
  </property>
  <property fmtid="{D5CDD505-2E9C-101B-9397-08002B2CF9AE}" pid="6" name="EW_Taxonomy">
    <vt:lpwstr/>
  </property>
  <property fmtid="{D5CDD505-2E9C-101B-9397-08002B2CF9AE}" pid="7" name="MSIP_Label_b6812621-54a3-4807-a8e5-5110932761ab_Enabled">
    <vt:lpwstr>true</vt:lpwstr>
  </property>
  <property fmtid="{D5CDD505-2E9C-101B-9397-08002B2CF9AE}" pid="8" name="MSIP_Label_b6812621-54a3-4807-a8e5-5110932761ab_SetDate">
    <vt:lpwstr>2022-05-20T09:14:11Z</vt:lpwstr>
  </property>
  <property fmtid="{D5CDD505-2E9C-101B-9397-08002B2CF9AE}" pid="9" name="MSIP_Label_b6812621-54a3-4807-a8e5-5110932761ab_Method">
    <vt:lpwstr>Privileged</vt:lpwstr>
  </property>
  <property fmtid="{D5CDD505-2E9C-101B-9397-08002B2CF9AE}" pid="10" name="MSIP_Label_b6812621-54a3-4807-a8e5-5110932761ab_Name">
    <vt:lpwstr>b6812621-54a3-4807-a8e5-5110932761ab</vt:lpwstr>
  </property>
  <property fmtid="{D5CDD505-2E9C-101B-9397-08002B2CF9AE}" pid="11" name="MSIP_Label_b6812621-54a3-4807-a8e5-5110932761ab_SiteId">
    <vt:lpwstr>582259a1-dcaa-4cca-b1cf-e60d3f045ecd</vt:lpwstr>
  </property>
  <property fmtid="{D5CDD505-2E9C-101B-9397-08002B2CF9AE}" pid="12" name="MSIP_Label_b6812621-54a3-4807-a8e5-5110932761ab_ActionId">
    <vt:lpwstr>ddaeab7d-da76-4a4c-a357-f10074d322cb</vt:lpwstr>
  </property>
  <property fmtid="{D5CDD505-2E9C-101B-9397-08002B2CF9AE}" pid="13" name="MSIP_Label_b6812621-54a3-4807-a8e5-5110932761ab_ContentBits">
    <vt:lpwstr>0</vt:lpwstr>
  </property>
  <property fmtid="{D5CDD505-2E9C-101B-9397-08002B2CF9AE}" pid="14" name="MSIP_Label_8216c55b-98a9-4a56-8174-486c729da503_Enabled">
    <vt:lpwstr>true</vt:lpwstr>
  </property>
  <property fmtid="{D5CDD505-2E9C-101B-9397-08002B2CF9AE}" pid="15" name="MSIP_Label_8216c55b-98a9-4a56-8174-486c729da503_SetDate">
    <vt:lpwstr>2023-06-08T07:42:32Z</vt:lpwstr>
  </property>
  <property fmtid="{D5CDD505-2E9C-101B-9397-08002B2CF9AE}" pid="16" name="MSIP_Label_8216c55b-98a9-4a56-8174-486c729da503_Method">
    <vt:lpwstr>Standard</vt:lpwstr>
  </property>
  <property fmtid="{D5CDD505-2E9C-101B-9397-08002B2CF9AE}" pid="17" name="MSIP_Label_8216c55b-98a9-4a56-8174-486c729da503_Name">
    <vt:lpwstr>8216c55b-98a9-4a56-8174-486c729da503</vt:lpwstr>
  </property>
  <property fmtid="{D5CDD505-2E9C-101B-9397-08002B2CF9AE}" pid="18" name="MSIP_Label_8216c55b-98a9-4a56-8174-486c729da503_SiteId">
    <vt:lpwstr>a7f77151-e1e1-49d3-b6ac-261c0ef650f1</vt:lpwstr>
  </property>
  <property fmtid="{D5CDD505-2E9C-101B-9397-08002B2CF9AE}" pid="19" name="MSIP_Label_8216c55b-98a9-4a56-8174-486c729da503_ActionId">
    <vt:lpwstr>6e71e054-7c81-4447-8c90-eb889dfd10a9</vt:lpwstr>
  </property>
  <property fmtid="{D5CDD505-2E9C-101B-9397-08002B2CF9AE}" pid="20" name="MSIP_Label_8216c55b-98a9-4a56-8174-486c729da503_ContentBits">
    <vt:lpwstr>0</vt:lpwstr>
  </property>
</Properties>
</file>